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AF237">
      <w:pPr>
        <w:ind w:left="-13" w:firstLine="633"/>
        <w:rPr>
          <w:rFonts w:hint="eastAsia" w:ascii="仿宋" w:hAnsi="仿宋" w:eastAsia="仿宋" w:cs="仿宋"/>
          <w:color w:val="000000"/>
          <w:sz w:val="44"/>
        </w:rPr>
      </w:pPr>
      <w:bookmarkStart w:id="0" w:name="_Hlk69393945"/>
      <w:bookmarkStart w:id="1" w:name="_Toc528771312"/>
      <w:bookmarkStart w:id="2" w:name="_Toc27744861"/>
    </w:p>
    <w:p w14:paraId="77F31ECA">
      <w:pPr>
        <w:ind w:left="-13" w:firstLine="633"/>
        <w:rPr>
          <w:rFonts w:hint="eastAsia" w:ascii="仿宋" w:hAnsi="仿宋" w:eastAsia="仿宋" w:cs="仿宋"/>
          <w:color w:val="000000"/>
          <w:sz w:val="44"/>
        </w:rPr>
      </w:pPr>
    </w:p>
    <w:p w14:paraId="2C0D2D49">
      <w:pPr>
        <w:ind w:right="-168"/>
        <w:jc w:val="both"/>
        <w:rPr>
          <w:rFonts w:hint="eastAsia" w:ascii="仿宋" w:hAnsi="仿宋" w:eastAsia="仿宋" w:cs="仿宋"/>
          <w:b/>
          <w:color w:val="auto"/>
          <w:sz w:val="52"/>
          <w:szCs w:val="52"/>
          <w:lang w:eastAsia="zh-CN"/>
        </w:rPr>
      </w:pPr>
    </w:p>
    <w:p w14:paraId="604A9798">
      <w:pPr>
        <w:ind w:right="-168"/>
        <w:jc w:val="center"/>
        <w:rPr>
          <w:rFonts w:hint="eastAsia" w:ascii="仿宋" w:hAnsi="仿宋" w:eastAsia="仿宋" w:cs="仿宋"/>
          <w:b/>
          <w:color w:val="auto"/>
          <w:sz w:val="44"/>
          <w:szCs w:val="44"/>
          <w:lang w:eastAsia="zh-CN"/>
        </w:rPr>
      </w:pPr>
      <w:r>
        <w:rPr>
          <w:rFonts w:hint="eastAsia" w:ascii="仿宋" w:hAnsi="仿宋" w:eastAsia="仿宋" w:cs="仿宋"/>
          <w:b/>
          <w:color w:val="auto"/>
          <w:sz w:val="44"/>
          <w:szCs w:val="44"/>
          <w:lang w:eastAsia="zh-CN"/>
        </w:rPr>
        <w:t>2025年全市道路交通安全隐患治理项目--城市道路交通组织优化项目</w:t>
      </w:r>
    </w:p>
    <w:p w14:paraId="634F7F72">
      <w:pPr>
        <w:ind w:left="-13" w:firstLine="636"/>
        <w:jc w:val="center"/>
        <w:rPr>
          <w:rFonts w:hint="eastAsia" w:ascii="仿宋" w:hAnsi="仿宋" w:eastAsia="仿宋" w:cs="仿宋"/>
          <w:b/>
          <w:color w:val="auto"/>
          <w:sz w:val="44"/>
          <w:szCs w:val="44"/>
        </w:rPr>
      </w:pPr>
    </w:p>
    <w:p w14:paraId="79FC50B8">
      <w:pPr>
        <w:ind w:left="-13" w:firstLine="520"/>
        <w:jc w:val="center"/>
        <w:rPr>
          <w:rFonts w:hint="eastAsia" w:ascii="仿宋" w:hAnsi="仿宋" w:eastAsia="仿宋" w:cs="仿宋"/>
          <w:b/>
          <w:bCs/>
          <w:color w:val="000000"/>
          <w:sz w:val="36"/>
          <w:szCs w:val="36"/>
        </w:rPr>
      </w:pPr>
    </w:p>
    <w:p w14:paraId="3F9D2A32">
      <w:pPr>
        <w:jc w:val="center"/>
        <w:rPr>
          <w:rFonts w:hint="eastAsia" w:ascii="仿宋" w:hAnsi="仿宋" w:eastAsia="仿宋" w:cs="仿宋"/>
          <w:b/>
          <w:bCs/>
          <w:color w:val="000000"/>
          <w:sz w:val="84"/>
          <w:szCs w:val="84"/>
        </w:rPr>
      </w:pPr>
    </w:p>
    <w:p w14:paraId="35D92529">
      <w:pPr>
        <w:jc w:val="center"/>
        <w:rPr>
          <w:rFonts w:hint="eastAsia" w:ascii="仿宋" w:hAnsi="仿宋" w:eastAsia="仿宋" w:cs="仿宋"/>
          <w:b/>
          <w:bCs/>
          <w:color w:val="000000"/>
          <w:sz w:val="84"/>
          <w:szCs w:val="84"/>
        </w:rPr>
      </w:pPr>
    </w:p>
    <w:p w14:paraId="10B65C1C">
      <w:pPr>
        <w:jc w:val="center"/>
        <w:rPr>
          <w:rFonts w:hint="eastAsia" w:ascii="仿宋" w:hAnsi="仿宋" w:eastAsia="仿宋" w:cs="仿宋"/>
          <w:b/>
          <w:bCs/>
          <w:color w:val="000000"/>
          <w:sz w:val="72"/>
          <w:szCs w:val="72"/>
        </w:rPr>
      </w:pPr>
    </w:p>
    <w:p w14:paraId="3DD2A957">
      <w:pPr>
        <w:jc w:val="center"/>
        <w:rPr>
          <w:rFonts w:hint="eastAsia" w:ascii="仿宋" w:hAnsi="仿宋" w:eastAsia="仿宋" w:cs="仿宋"/>
          <w:b/>
          <w:color w:val="000000"/>
          <w:sz w:val="52"/>
          <w:szCs w:val="52"/>
        </w:rPr>
      </w:pPr>
      <w:r>
        <w:rPr>
          <w:rFonts w:hint="eastAsia" w:ascii="仿宋" w:hAnsi="仿宋" w:eastAsia="仿宋" w:cs="仿宋"/>
          <w:b/>
          <w:bCs/>
          <w:color w:val="000000"/>
          <w:sz w:val="72"/>
          <w:szCs w:val="72"/>
        </w:rPr>
        <w:t>竞争性磋商文件</w:t>
      </w:r>
    </w:p>
    <w:p w14:paraId="5F0D23A0">
      <w:pPr>
        <w:ind w:left="-13" w:firstLine="460"/>
        <w:rPr>
          <w:rFonts w:hint="eastAsia" w:ascii="仿宋" w:hAnsi="仿宋" w:eastAsia="仿宋" w:cs="仿宋"/>
          <w:color w:val="000000"/>
          <w:sz w:val="32"/>
        </w:rPr>
      </w:pPr>
    </w:p>
    <w:p w14:paraId="5F4822EF">
      <w:pPr>
        <w:ind w:left="-13" w:firstLine="633"/>
        <w:jc w:val="center"/>
        <w:rPr>
          <w:rFonts w:hint="eastAsia" w:ascii="仿宋" w:hAnsi="仿宋" w:eastAsia="仿宋" w:cs="仿宋"/>
          <w:color w:val="000000"/>
          <w:sz w:val="44"/>
        </w:rPr>
      </w:pPr>
    </w:p>
    <w:p w14:paraId="31CE977F">
      <w:pPr>
        <w:ind w:left="-13" w:firstLine="633"/>
        <w:jc w:val="center"/>
        <w:rPr>
          <w:rFonts w:hint="eastAsia" w:ascii="仿宋" w:hAnsi="仿宋" w:eastAsia="仿宋" w:cs="仿宋"/>
          <w:color w:val="000000"/>
          <w:sz w:val="44"/>
        </w:rPr>
      </w:pPr>
    </w:p>
    <w:p w14:paraId="19698CCA">
      <w:pPr>
        <w:ind w:left="-13" w:firstLine="633"/>
        <w:jc w:val="center"/>
        <w:rPr>
          <w:rFonts w:hint="eastAsia" w:ascii="仿宋" w:hAnsi="仿宋" w:eastAsia="仿宋" w:cs="仿宋"/>
          <w:color w:val="000000"/>
          <w:sz w:val="44"/>
        </w:rPr>
      </w:pPr>
    </w:p>
    <w:p w14:paraId="7D00BE7F">
      <w:pPr>
        <w:ind w:left="-13" w:firstLine="633"/>
        <w:jc w:val="center"/>
        <w:rPr>
          <w:rFonts w:hint="eastAsia" w:ascii="仿宋" w:hAnsi="仿宋" w:eastAsia="仿宋" w:cs="仿宋"/>
          <w:color w:val="000000"/>
          <w:sz w:val="44"/>
        </w:rPr>
      </w:pPr>
    </w:p>
    <w:p w14:paraId="63AFE283">
      <w:pPr>
        <w:ind w:left="-13" w:firstLine="633"/>
        <w:jc w:val="center"/>
        <w:rPr>
          <w:rFonts w:hint="eastAsia" w:ascii="仿宋" w:hAnsi="仿宋" w:eastAsia="仿宋" w:cs="仿宋"/>
          <w:color w:val="000000"/>
          <w:sz w:val="44"/>
        </w:rPr>
      </w:pPr>
    </w:p>
    <w:p w14:paraId="77476F34">
      <w:pPr>
        <w:spacing w:line="360" w:lineRule="auto"/>
        <w:ind w:left="-13" w:firstLine="460"/>
        <w:jc w:val="center"/>
        <w:rPr>
          <w:rFonts w:hint="eastAsia" w:ascii="仿宋" w:hAnsi="仿宋" w:eastAsia="仿宋" w:cs="仿宋"/>
          <w:color w:val="000000"/>
          <w:sz w:val="32"/>
          <w:szCs w:val="32"/>
        </w:rPr>
      </w:pPr>
    </w:p>
    <w:p w14:paraId="6E07B831">
      <w:pPr>
        <w:spacing w:line="360" w:lineRule="auto"/>
        <w:ind w:left="-13" w:firstLine="460"/>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rPr>
        <w:t>采购人：</w:t>
      </w:r>
      <w:r>
        <w:rPr>
          <w:rFonts w:hint="eastAsia" w:ascii="仿宋" w:hAnsi="仿宋" w:eastAsia="仿宋" w:cs="仿宋"/>
          <w:color w:val="000000"/>
          <w:sz w:val="32"/>
          <w:szCs w:val="32"/>
          <w:lang w:val="en-US" w:eastAsia="zh-CN"/>
        </w:rPr>
        <w:t>高邮市公安局</w:t>
      </w:r>
    </w:p>
    <w:p w14:paraId="19BB1523">
      <w:pPr>
        <w:spacing w:line="360" w:lineRule="auto"/>
        <w:ind w:left="-13" w:firstLine="460"/>
        <w:jc w:val="center"/>
        <w:rPr>
          <w:rFonts w:hint="eastAsia" w:ascii="仿宋" w:hAnsi="仿宋" w:eastAsia="仿宋" w:cs="仿宋"/>
          <w:color w:val="000000"/>
          <w:sz w:val="32"/>
          <w:szCs w:val="32"/>
          <w:lang w:eastAsia="zh-CN"/>
        </w:rPr>
      </w:pPr>
      <w:r>
        <w:rPr>
          <w:rFonts w:hint="eastAsia" w:ascii="仿宋" w:hAnsi="仿宋" w:eastAsia="仿宋" w:cs="仿宋"/>
          <w:color w:val="000000"/>
          <w:sz w:val="32"/>
          <w:szCs w:val="32"/>
        </w:rPr>
        <w:t>招标代理：</w:t>
      </w:r>
      <w:r>
        <w:rPr>
          <w:rFonts w:hint="eastAsia" w:ascii="仿宋" w:hAnsi="仿宋" w:eastAsia="仿宋" w:cs="仿宋"/>
          <w:color w:val="000000"/>
          <w:sz w:val="32"/>
          <w:szCs w:val="32"/>
          <w:lang w:eastAsia="zh-CN"/>
        </w:rPr>
        <w:t>扬州九域工程咨询有限公司</w:t>
      </w:r>
    </w:p>
    <w:p w14:paraId="4A51956F">
      <w:pPr>
        <w:spacing w:line="360" w:lineRule="auto"/>
        <w:ind w:left="-13" w:firstLine="460"/>
        <w:jc w:val="center"/>
        <w:rPr>
          <w:rFonts w:hint="eastAsia" w:ascii="仿宋" w:hAnsi="仿宋" w:eastAsia="仿宋" w:cs="仿宋"/>
          <w:color w:val="000000"/>
          <w:sz w:val="36"/>
          <w:szCs w:val="36"/>
        </w:rPr>
      </w:pPr>
    </w:p>
    <w:p w14:paraId="46CAB406">
      <w:pPr>
        <w:pStyle w:val="221"/>
        <w:tabs>
          <w:tab w:val="right" w:leader="dot" w:pos="8296"/>
        </w:tabs>
        <w:spacing w:line="360" w:lineRule="auto"/>
        <w:ind w:left="-13" w:firstLine="434"/>
        <w:jc w:val="center"/>
        <w:rPr>
          <w:rFonts w:hint="eastAsia" w:ascii="仿宋" w:hAnsi="仿宋" w:eastAsia="仿宋" w:cs="仿宋"/>
          <w:b/>
          <w:color w:val="000000"/>
          <w:sz w:val="30"/>
          <w:szCs w:val="30"/>
        </w:rPr>
        <w:sectPr>
          <w:pgSz w:w="11906" w:h="16838"/>
          <w:pgMar w:top="1134" w:right="1134" w:bottom="1134" w:left="1134" w:header="851" w:footer="992" w:gutter="0"/>
          <w:cols w:space="1701" w:num="1"/>
          <w:docGrid w:linePitch="360" w:charSpace="0"/>
        </w:sectPr>
      </w:pPr>
    </w:p>
    <w:p w14:paraId="4EBA1050">
      <w:pPr>
        <w:spacing w:line="360" w:lineRule="auto"/>
        <w:jc w:val="center"/>
        <w:rPr>
          <w:rFonts w:hint="eastAsia" w:ascii="仿宋" w:hAnsi="仿宋" w:eastAsia="仿宋" w:cs="仿宋"/>
          <w:color w:val="000000"/>
          <w:sz w:val="32"/>
        </w:rPr>
      </w:pPr>
      <w:r>
        <w:rPr>
          <w:rFonts w:hint="eastAsia" w:ascii="仿宋" w:hAnsi="仿宋" w:eastAsia="仿宋" w:cs="仿宋"/>
          <w:color w:val="000000"/>
          <w:sz w:val="32"/>
        </w:rPr>
        <w:t>目录</w:t>
      </w:r>
    </w:p>
    <w:p w14:paraId="1C9B3076">
      <w:pPr>
        <w:pStyle w:val="221"/>
        <w:tabs>
          <w:tab w:val="right" w:leader="dot" w:pos="8296"/>
        </w:tabs>
        <w:spacing w:line="360" w:lineRule="auto"/>
        <w:rPr>
          <w:rFonts w:hint="eastAsia" w:ascii="仿宋" w:hAnsi="仿宋" w:eastAsia="仿宋" w:cs="仿宋"/>
        </w:rPr>
      </w:pPr>
      <w:r>
        <w:rPr>
          <w:rFonts w:hint="eastAsia" w:ascii="仿宋" w:hAnsi="仿宋" w:eastAsia="仿宋" w:cs="仿宋"/>
          <w:color w:val="000000"/>
          <w:sz w:val="28"/>
        </w:rPr>
        <w:fldChar w:fldCharType="begin"/>
      </w:r>
      <w:r>
        <w:rPr>
          <w:rFonts w:hint="eastAsia" w:ascii="仿宋" w:hAnsi="仿宋" w:eastAsia="仿宋" w:cs="仿宋"/>
          <w:color w:val="000000"/>
          <w:sz w:val="28"/>
        </w:rPr>
        <w:instrText xml:space="preserve"> TOC \o "1-3" \f </w:instrText>
      </w:r>
      <w:r>
        <w:rPr>
          <w:rFonts w:hint="eastAsia" w:ascii="仿宋" w:hAnsi="仿宋" w:eastAsia="仿宋" w:cs="仿宋"/>
          <w:color w:val="000000"/>
          <w:sz w:val="28"/>
        </w:rPr>
        <w:fldChar w:fldCharType="separate"/>
      </w:r>
      <w:r>
        <w:rPr>
          <w:rFonts w:hint="eastAsia" w:ascii="仿宋" w:hAnsi="仿宋" w:eastAsia="仿宋" w:cs="仿宋"/>
        </w:rPr>
        <w:t>第一章关于</w:t>
      </w:r>
      <w:r>
        <w:rPr>
          <w:rFonts w:hint="eastAsia" w:ascii="仿宋" w:hAnsi="仿宋" w:eastAsia="仿宋" w:cs="仿宋"/>
          <w:lang w:eastAsia="zh-CN"/>
        </w:rPr>
        <w:t>2025年全市道路交通安全隐患治理项目--城市道路交通组织优化项目</w:t>
      </w:r>
      <w:r>
        <w:rPr>
          <w:rFonts w:hint="eastAsia" w:ascii="仿宋" w:hAnsi="仿宋" w:eastAsia="仿宋" w:cs="仿宋"/>
        </w:rPr>
        <w:t>的竞争性磋商采购公告</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_Toc109304962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p>
    <w:p w14:paraId="41BEE49B">
      <w:pPr>
        <w:pStyle w:val="221"/>
        <w:tabs>
          <w:tab w:val="right" w:leader="dot" w:pos="8296"/>
        </w:tabs>
        <w:spacing w:line="360" w:lineRule="auto"/>
        <w:rPr>
          <w:rFonts w:hint="eastAsia" w:ascii="仿宋" w:hAnsi="仿宋" w:eastAsia="仿宋" w:cs="仿宋"/>
        </w:rPr>
      </w:pPr>
      <w:r>
        <w:rPr>
          <w:rFonts w:hint="eastAsia" w:ascii="仿宋" w:hAnsi="仿宋" w:eastAsia="仿宋" w:cs="仿宋"/>
          <w:color w:val="000000"/>
        </w:rPr>
        <w:t>第二章磋商须知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_Toc109304972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p>
    <w:p w14:paraId="0F9CF790">
      <w:pPr>
        <w:pStyle w:val="221"/>
        <w:tabs>
          <w:tab w:val="right" w:leader="dot" w:pos="8296"/>
        </w:tabs>
        <w:spacing w:line="360" w:lineRule="auto"/>
        <w:rPr>
          <w:rFonts w:hint="eastAsia" w:ascii="仿宋" w:hAnsi="仿宋" w:eastAsia="仿宋" w:cs="仿宋"/>
          <w:lang w:val="en-US" w:eastAsia="zh-CN"/>
        </w:rPr>
      </w:pPr>
      <w:r>
        <w:rPr>
          <w:rFonts w:hint="eastAsia" w:ascii="仿宋" w:hAnsi="仿宋" w:eastAsia="仿宋" w:cs="仿宋"/>
          <w:color w:val="000000"/>
        </w:rPr>
        <w:t>第三章合同条款及格式</w:t>
      </w:r>
      <w:r>
        <w:rPr>
          <w:rFonts w:hint="eastAsia" w:ascii="仿宋" w:hAnsi="仿宋" w:eastAsia="仿宋" w:cs="仿宋"/>
        </w:rPr>
        <w:tab/>
      </w:r>
      <w:r>
        <w:rPr>
          <w:rFonts w:hint="eastAsia" w:ascii="仿宋" w:hAnsi="仿宋" w:eastAsia="仿宋" w:cs="仿宋"/>
          <w:lang w:val="en-US" w:eastAsia="zh-CN"/>
        </w:rPr>
        <w:t>18</w:t>
      </w:r>
    </w:p>
    <w:p w14:paraId="6C8AF308">
      <w:pPr>
        <w:pStyle w:val="221"/>
        <w:tabs>
          <w:tab w:val="right" w:leader="dot" w:pos="8296"/>
        </w:tabs>
        <w:spacing w:line="360" w:lineRule="auto"/>
        <w:rPr>
          <w:rFonts w:hint="eastAsia" w:ascii="仿宋" w:hAnsi="仿宋" w:eastAsia="仿宋" w:cs="仿宋"/>
        </w:rPr>
      </w:pPr>
      <w:r>
        <w:rPr>
          <w:rFonts w:hint="eastAsia" w:ascii="仿宋" w:hAnsi="仿宋" w:eastAsia="仿宋" w:cs="仿宋"/>
        </w:rPr>
        <w:t>第四章项目需求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_Toc109304974 \h </w:instrText>
      </w:r>
      <w:r>
        <w:rPr>
          <w:rFonts w:hint="eastAsia" w:ascii="仿宋" w:hAnsi="仿宋" w:eastAsia="仿宋" w:cs="仿宋"/>
        </w:rPr>
        <w:fldChar w:fldCharType="separate"/>
      </w:r>
      <w:r>
        <w:rPr>
          <w:rFonts w:hint="eastAsia" w:ascii="仿宋" w:hAnsi="仿宋" w:eastAsia="仿宋" w:cs="仿宋"/>
        </w:rPr>
        <w:t>21</w:t>
      </w:r>
      <w:r>
        <w:rPr>
          <w:rFonts w:hint="eastAsia" w:ascii="仿宋" w:hAnsi="仿宋" w:eastAsia="仿宋" w:cs="仿宋"/>
        </w:rPr>
        <w:fldChar w:fldCharType="end"/>
      </w:r>
    </w:p>
    <w:p w14:paraId="384F70C7">
      <w:pPr>
        <w:pStyle w:val="221"/>
        <w:tabs>
          <w:tab w:val="right" w:leader="dot" w:pos="8296"/>
        </w:tabs>
        <w:spacing w:line="360" w:lineRule="auto"/>
        <w:rPr>
          <w:rFonts w:hint="eastAsia" w:ascii="仿宋" w:hAnsi="仿宋" w:eastAsia="仿宋" w:cs="仿宋"/>
        </w:rPr>
      </w:pPr>
      <w:r>
        <w:rPr>
          <w:rFonts w:hint="eastAsia" w:ascii="仿宋" w:hAnsi="仿宋" w:eastAsia="仿宋" w:cs="仿宋"/>
          <w:color w:val="000000"/>
        </w:rPr>
        <w:t>第五章评审方法及评审标准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_Toc109304975 \h </w:instrText>
      </w:r>
      <w:r>
        <w:rPr>
          <w:rFonts w:hint="eastAsia" w:ascii="仿宋" w:hAnsi="仿宋" w:eastAsia="仿宋" w:cs="仿宋"/>
        </w:rPr>
        <w:fldChar w:fldCharType="separate"/>
      </w:r>
      <w:r>
        <w:rPr>
          <w:rFonts w:hint="eastAsia" w:ascii="仿宋" w:hAnsi="仿宋" w:eastAsia="仿宋" w:cs="仿宋"/>
        </w:rPr>
        <w:t>21</w:t>
      </w:r>
      <w:r>
        <w:rPr>
          <w:rFonts w:hint="eastAsia" w:ascii="仿宋" w:hAnsi="仿宋" w:eastAsia="仿宋" w:cs="仿宋"/>
        </w:rPr>
        <w:fldChar w:fldCharType="end"/>
      </w:r>
    </w:p>
    <w:p w14:paraId="50C1E862">
      <w:pPr>
        <w:pStyle w:val="221"/>
        <w:tabs>
          <w:tab w:val="right" w:leader="dot" w:pos="8296"/>
        </w:tabs>
        <w:spacing w:line="360" w:lineRule="auto"/>
        <w:rPr>
          <w:rFonts w:hint="eastAsia" w:ascii="仿宋" w:hAnsi="仿宋" w:eastAsia="仿宋" w:cs="仿宋"/>
        </w:rPr>
      </w:pPr>
      <w:r>
        <w:rPr>
          <w:rFonts w:hint="eastAsia" w:ascii="仿宋" w:hAnsi="仿宋" w:eastAsia="仿宋" w:cs="仿宋"/>
          <w:color w:val="000000"/>
        </w:rPr>
        <w:t>第六章竞争性磋商响应文件格式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_Toc109304976 \h </w:instrText>
      </w:r>
      <w:r>
        <w:rPr>
          <w:rFonts w:hint="eastAsia" w:ascii="仿宋" w:hAnsi="仿宋" w:eastAsia="仿宋" w:cs="仿宋"/>
        </w:rPr>
        <w:fldChar w:fldCharType="separate"/>
      </w:r>
      <w:r>
        <w:rPr>
          <w:rFonts w:hint="eastAsia" w:ascii="仿宋" w:hAnsi="仿宋" w:eastAsia="仿宋" w:cs="仿宋"/>
        </w:rPr>
        <w:t>28</w:t>
      </w:r>
      <w:r>
        <w:rPr>
          <w:rFonts w:hint="eastAsia" w:ascii="仿宋" w:hAnsi="仿宋" w:eastAsia="仿宋" w:cs="仿宋"/>
        </w:rPr>
        <w:fldChar w:fldCharType="end"/>
      </w:r>
    </w:p>
    <w:p w14:paraId="211067D0">
      <w:pPr>
        <w:spacing w:line="360" w:lineRule="auto"/>
        <w:rPr>
          <w:rFonts w:hint="eastAsia" w:ascii="仿宋" w:hAnsi="仿宋" w:eastAsia="仿宋" w:cs="仿宋"/>
          <w:color w:val="000000"/>
          <w:sz w:val="28"/>
        </w:rPr>
      </w:pPr>
      <w:r>
        <w:rPr>
          <w:rFonts w:hint="eastAsia" w:ascii="仿宋" w:hAnsi="仿宋" w:eastAsia="仿宋" w:cs="仿宋"/>
          <w:color w:val="000000"/>
          <w:sz w:val="28"/>
        </w:rPr>
        <w:fldChar w:fldCharType="end"/>
      </w:r>
    </w:p>
    <w:p w14:paraId="74779DE5">
      <w:pPr>
        <w:spacing w:line="360" w:lineRule="auto"/>
        <w:rPr>
          <w:rFonts w:hint="eastAsia" w:ascii="仿宋" w:hAnsi="仿宋" w:eastAsia="仿宋" w:cs="仿宋"/>
        </w:rPr>
      </w:pPr>
    </w:p>
    <w:p w14:paraId="66226F7D">
      <w:pPr>
        <w:pStyle w:val="197"/>
        <w:spacing w:line="360" w:lineRule="auto"/>
        <w:jc w:val="center"/>
        <w:rPr>
          <w:rFonts w:hint="eastAsia" w:ascii="仿宋" w:hAnsi="仿宋" w:eastAsia="仿宋" w:cs="仿宋"/>
          <w:sz w:val="32"/>
          <w:szCs w:val="32"/>
        </w:rPr>
        <w:sectPr>
          <w:headerReference r:id="rId3" w:type="default"/>
          <w:footerReference r:id="rId4" w:type="default"/>
          <w:pgSz w:w="11906" w:h="16838"/>
          <w:pgMar w:top="1134" w:right="1134" w:bottom="1134" w:left="1134" w:header="851" w:footer="992" w:gutter="0"/>
          <w:pgNumType w:start="1"/>
          <w:cols w:space="1701" w:num="1"/>
          <w:docGrid w:linePitch="360" w:charSpace="0"/>
        </w:sectPr>
      </w:pPr>
      <w:bookmarkStart w:id="3" w:name="_Toc109304962"/>
      <w:bookmarkStart w:id="4" w:name="_Toc109304965"/>
    </w:p>
    <w:p w14:paraId="222189AE">
      <w:pPr>
        <w:pStyle w:val="197"/>
        <w:spacing w:line="360" w:lineRule="auto"/>
        <w:jc w:val="center"/>
        <w:rPr>
          <w:rFonts w:hint="eastAsia" w:ascii="仿宋" w:hAnsi="仿宋" w:eastAsia="仿宋" w:cs="仿宋"/>
          <w:sz w:val="36"/>
          <w:szCs w:val="36"/>
        </w:rPr>
      </w:pPr>
      <w:r>
        <w:rPr>
          <w:rFonts w:hint="eastAsia" w:ascii="仿宋" w:hAnsi="仿宋" w:eastAsia="仿宋" w:cs="仿宋"/>
          <w:sz w:val="32"/>
          <w:szCs w:val="32"/>
        </w:rPr>
        <w:t>第一章</w:t>
      </w:r>
      <w:r>
        <w:rPr>
          <w:rFonts w:hint="eastAsia" w:ascii="仿宋" w:hAnsi="仿宋" w:eastAsia="仿宋" w:cs="仿宋"/>
          <w:sz w:val="32"/>
          <w:szCs w:val="32"/>
          <w:lang w:val="en-US" w:eastAsia="zh-CN"/>
        </w:rPr>
        <w:t xml:space="preserve"> </w:t>
      </w:r>
      <w:r>
        <w:rPr>
          <w:rFonts w:hint="eastAsia" w:ascii="仿宋" w:hAnsi="仿宋" w:eastAsia="仿宋" w:cs="仿宋"/>
          <w:color w:val="000000"/>
          <w:sz w:val="32"/>
          <w:szCs w:val="32"/>
          <w:lang w:eastAsia="zh-CN"/>
        </w:rPr>
        <w:t>高邮市公安局</w:t>
      </w:r>
      <w:r>
        <w:rPr>
          <w:rFonts w:hint="eastAsia" w:ascii="仿宋" w:hAnsi="仿宋" w:eastAsia="仿宋" w:cs="仿宋"/>
          <w:sz w:val="32"/>
          <w:szCs w:val="32"/>
        </w:rPr>
        <w:t>关于</w:t>
      </w:r>
      <w:r>
        <w:rPr>
          <w:rFonts w:hint="eastAsia" w:ascii="仿宋" w:hAnsi="仿宋" w:eastAsia="仿宋" w:cs="仿宋"/>
          <w:sz w:val="32"/>
          <w:szCs w:val="32"/>
          <w:lang w:eastAsia="zh-CN"/>
        </w:rPr>
        <w:t>2025年全市道路交通安全隐患治理项目--城市道路交通组织优化项目</w:t>
      </w:r>
      <w:r>
        <w:rPr>
          <w:rFonts w:hint="eastAsia" w:ascii="仿宋" w:hAnsi="仿宋" w:eastAsia="仿宋" w:cs="仿宋"/>
          <w:sz w:val="32"/>
          <w:szCs w:val="32"/>
        </w:rPr>
        <w:t>的竞争性磋商采购公告</w:t>
      </w:r>
      <w:bookmarkEnd w:id="3"/>
    </w:p>
    <w:p w14:paraId="46BCC08C">
      <w:pPr>
        <w:widowControl/>
        <w:spacing w:line="360" w:lineRule="auto"/>
        <w:ind w:firstLine="480"/>
        <w:jc w:val="left"/>
        <w:rPr>
          <w:rFonts w:hint="eastAsia" w:ascii="仿宋" w:hAnsi="仿宋" w:eastAsia="仿宋" w:cs="仿宋"/>
          <w:sz w:val="21"/>
          <w:szCs w:val="21"/>
        </w:rPr>
      </w:pPr>
      <w:r>
        <w:rPr>
          <w:rFonts w:hint="eastAsia" w:ascii="仿宋" w:hAnsi="仿宋" w:eastAsia="仿宋" w:cs="仿宋"/>
          <w:sz w:val="21"/>
          <w:szCs w:val="21"/>
        </w:rPr>
        <w:t>受</w:t>
      </w:r>
      <w:r>
        <w:rPr>
          <w:rFonts w:hint="eastAsia" w:ascii="仿宋" w:hAnsi="仿宋" w:eastAsia="仿宋" w:cs="仿宋"/>
          <w:sz w:val="21"/>
          <w:szCs w:val="21"/>
          <w:lang w:val="en-US" w:eastAsia="zh-CN"/>
        </w:rPr>
        <w:t>高邮市公安局的</w:t>
      </w:r>
      <w:r>
        <w:rPr>
          <w:rFonts w:hint="eastAsia" w:ascii="仿宋" w:hAnsi="仿宋" w:eastAsia="仿宋" w:cs="仿宋"/>
          <w:sz w:val="21"/>
          <w:szCs w:val="21"/>
        </w:rPr>
        <w:t>委托，</w:t>
      </w:r>
      <w:r>
        <w:rPr>
          <w:rFonts w:hint="eastAsia" w:ascii="仿宋" w:hAnsi="仿宋" w:eastAsia="仿宋" w:cs="仿宋"/>
          <w:sz w:val="21"/>
          <w:szCs w:val="21"/>
          <w:lang w:val="en-US" w:eastAsia="zh-CN"/>
        </w:rPr>
        <w:t>扬州九域工程咨询有限公司</w:t>
      </w:r>
      <w:r>
        <w:rPr>
          <w:rFonts w:hint="eastAsia" w:ascii="仿宋" w:hAnsi="仿宋" w:eastAsia="仿宋" w:cs="仿宋"/>
          <w:sz w:val="21"/>
          <w:szCs w:val="21"/>
        </w:rPr>
        <w:t>就</w:t>
      </w:r>
      <w:r>
        <w:rPr>
          <w:rFonts w:hint="eastAsia" w:ascii="仿宋" w:hAnsi="仿宋" w:eastAsia="仿宋" w:cs="仿宋"/>
          <w:sz w:val="21"/>
          <w:szCs w:val="21"/>
          <w:lang w:eastAsia="zh-CN"/>
        </w:rPr>
        <w:t>2025年全市道路交通安全隐患治理项目--城市道路交通组织优化项目</w:t>
      </w:r>
      <w:r>
        <w:rPr>
          <w:rFonts w:hint="eastAsia" w:ascii="仿宋" w:hAnsi="仿宋" w:eastAsia="仿宋" w:cs="仿宋"/>
          <w:sz w:val="21"/>
          <w:szCs w:val="21"/>
        </w:rPr>
        <w:t>实施政府采购，本次采购采用竞争性磋商方式，欢迎符合条件的供应商参加磋商。</w:t>
      </w:r>
    </w:p>
    <w:p w14:paraId="28CB48F9">
      <w:pPr>
        <w:pBdr>
          <w:top w:val="single" w:color="000000" w:sz="4" w:space="1"/>
          <w:left w:val="single" w:color="000000" w:sz="4" w:space="4"/>
          <w:bottom w:val="single" w:color="000000" w:sz="4" w:space="1"/>
          <w:right w:val="single" w:color="000000" w:sz="4" w:space="4"/>
        </w:pBdr>
        <w:spacing w:line="360" w:lineRule="auto"/>
        <w:ind w:firstLine="422"/>
        <w:rPr>
          <w:rFonts w:hint="eastAsia" w:ascii="仿宋" w:hAnsi="仿宋" w:eastAsia="仿宋" w:cs="仿宋"/>
          <w:b/>
          <w:sz w:val="21"/>
          <w:szCs w:val="21"/>
        </w:rPr>
      </w:pPr>
      <w:r>
        <w:rPr>
          <w:rFonts w:hint="eastAsia" w:ascii="仿宋" w:hAnsi="仿宋" w:eastAsia="仿宋" w:cs="仿宋"/>
          <w:b/>
          <w:sz w:val="21"/>
          <w:szCs w:val="21"/>
        </w:rPr>
        <w:t>项目概况：</w:t>
      </w:r>
    </w:p>
    <w:p w14:paraId="06B4BE2A">
      <w:pPr>
        <w:pBdr>
          <w:top w:val="single" w:color="000000" w:sz="4" w:space="1"/>
          <w:left w:val="single" w:color="000000" w:sz="4" w:space="4"/>
          <w:bottom w:val="single" w:color="000000" w:sz="4" w:space="1"/>
          <w:right w:val="single" w:color="000000" w:sz="4" w:space="4"/>
        </w:pBdr>
        <w:spacing w:line="360" w:lineRule="auto"/>
        <w:ind w:firstLine="420"/>
        <w:rPr>
          <w:rFonts w:hint="eastAsia" w:ascii="仿宋" w:hAnsi="仿宋" w:eastAsia="仿宋" w:cs="仿宋"/>
          <w:sz w:val="21"/>
          <w:szCs w:val="21"/>
        </w:rPr>
      </w:pPr>
      <w:r>
        <w:rPr>
          <w:rFonts w:hint="eastAsia" w:ascii="仿宋" w:hAnsi="仿宋" w:eastAsia="仿宋" w:cs="仿宋"/>
          <w:sz w:val="21"/>
          <w:szCs w:val="21"/>
          <w:u w:val="single"/>
          <w:lang w:val="en-US" w:eastAsia="zh-CN"/>
        </w:rPr>
        <w:t>2025年全市道路交通安全隐患治理项目--城市道路交通组织优化项目</w:t>
      </w:r>
      <w:r>
        <w:rPr>
          <w:rFonts w:hint="eastAsia" w:ascii="仿宋" w:hAnsi="仿宋" w:eastAsia="仿宋" w:cs="仿宋"/>
          <w:sz w:val="21"/>
          <w:szCs w:val="21"/>
        </w:rPr>
        <w:t>的潜在供应商</w:t>
      </w:r>
      <w:r>
        <w:rPr>
          <w:rFonts w:hint="eastAsia" w:ascii="仿宋" w:hAnsi="仿宋" w:eastAsia="仿宋" w:cs="仿宋"/>
          <w:sz w:val="21"/>
          <w:szCs w:val="21"/>
          <w:u w:val="single"/>
        </w:rPr>
        <w:t>可在“扬州市政府采购网”、“江苏省政府采购网”、</w:t>
      </w:r>
      <w:r>
        <w:rPr>
          <w:rFonts w:hint="eastAsia" w:ascii="仿宋" w:hAnsi="仿宋" w:eastAsia="仿宋" w:cs="仿宋"/>
          <w:sz w:val="21"/>
          <w:szCs w:val="21"/>
          <w:u w:val="none"/>
        </w:rPr>
        <w:t>自行免费下载</w:t>
      </w:r>
      <w:r>
        <w:rPr>
          <w:rFonts w:hint="eastAsia" w:ascii="仿宋" w:hAnsi="仿宋" w:eastAsia="仿宋" w:cs="仿宋"/>
          <w:sz w:val="21"/>
          <w:szCs w:val="21"/>
        </w:rPr>
        <w:t>采购文件，并于</w:t>
      </w:r>
      <w:r>
        <w:rPr>
          <w:rFonts w:hint="eastAsia" w:ascii="仿宋" w:hAnsi="仿宋" w:eastAsia="仿宋" w:cs="仿宋"/>
          <w:bCs/>
          <w:sz w:val="21"/>
          <w:szCs w:val="21"/>
          <w:u w:val="single"/>
          <w:lang w:eastAsia="zh-CN"/>
        </w:rPr>
        <w:t>2025年</w:t>
      </w:r>
      <w:r>
        <w:rPr>
          <w:rFonts w:hint="eastAsia" w:ascii="仿宋" w:hAnsi="仿宋" w:eastAsia="仿宋" w:cs="仿宋"/>
          <w:bCs/>
          <w:sz w:val="21"/>
          <w:szCs w:val="21"/>
          <w:u w:val="single"/>
          <w:lang w:val="en-US" w:eastAsia="zh-CN"/>
        </w:rPr>
        <w:t>12</w:t>
      </w:r>
      <w:r>
        <w:rPr>
          <w:rFonts w:hint="eastAsia" w:ascii="仿宋" w:hAnsi="仿宋" w:eastAsia="仿宋" w:cs="仿宋"/>
          <w:bCs/>
          <w:sz w:val="21"/>
          <w:szCs w:val="21"/>
          <w:u w:val="single"/>
          <w:lang w:eastAsia="zh-CN"/>
        </w:rPr>
        <w:t>月</w:t>
      </w:r>
      <w:r>
        <w:rPr>
          <w:rFonts w:hint="eastAsia" w:ascii="仿宋" w:hAnsi="仿宋" w:eastAsia="仿宋" w:cs="仿宋"/>
          <w:bCs/>
          <w:sz w:val="21"/>
          <w:szCs w:val="21"/>
          <w:u w:val="single"/>
          <w:lang w:val="en-US" w:eastAsia="zh-CN"/>
        </w:rPr>
        <w:t>29日14点30分</w:t>
      </w:r>
      <w:r>
        <w:rPr>
          <w:rFonts w:hint="eastAsia" w:ascii="仿宋" w:hAnsi="仿宋" w:eastAsia="仿宋" w:cs="仿宋"/>
          <w:bCs/>
          <w:sz w:val="21"/>
          <w:szCs w:val="21"/>
        </w:rPr>
        <w:t>（北京时间）前提交响应文件</w:t>
      </w:r>
      <w:r>
        <w:rPr>
          <w:rFonts w:hint="eastAsia" w:ascii="仿宋" w:hAnsi="仿宋" w:eastAsia="仿宋" w:cs="仿宋"/>
          <w:sz w:val="21"/>
          <w:szCs w:val="21"/>
        </w:rPr>
        <w:t>。</w:t>
      </w:r>
    </w:p>
    <w:p w14:paraId="6302419E">
      <w:pPr>
        <w:pStyle w:val="198"/>
        <w:spacing w:before="0" w:after="0" w:line="360" w:lineRule="auto"/>
        <w:rPr>
          <w:rFonts w:hint="eastAsia" w:ascii="仿宋" w:hAnsi="仿宋" w:eastAsia="仿宋" w:cs="仿宋"/>
          <w:bCs w:val="0"/>
          <w:sz w:val="21"/>
          <w:szCs w:val="21"/>
        </w:rPr>
      </w:pPr>
      <w:bookmarkStart w:id="5" w:name="_Toc109304963"/>
      <w:r>
        <w:rPr>
          <w:rFonts w:hint="eastAsia" w:ascii="仿宋" w:hAnsi="仿宋" w:eastAsia="仿宋" w:cs="仿宋"/>
          <w:bCs w:val="0"/>
          <w:sz w:val="21"/>
          <w:szCs w:val="21"/>
        </w:rPr>
        <w:t>一、项目基本情况</w:t>
      </w:r>
      <w:bookmarkEnd w:id="5"/>
    </w:p>
    <w:p w14:paraId="1FEC2D15">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1.项目编号：</w:t>
      </w:r>
      <w:r>
        <w:rPr>
          <w:rFonts w:hint="eastAsia" w:ascii="仿宋" w:hAnsi="仿宋" w:eastAsia="仿宋" w:cs="仿宋"/>
          <w:sz w:val="21"/>
          <w:szCs w:val="21"/>
          <w:lang w:eastAsia="zh-CN"/>
        </w:rPr>
        <w:t>JSZC-321084-JYZX-C2025-0023。</w:t>
      </w:r>
    </w:p>
    <w:p w14:paraId="711CFA32">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2.项目名称：</w:t>
      </w:r>
      <w:r>
        <w:rPr>
          <w:rFonts w:hint="eastAsia" w:ascii="仿宋" w:hAnsi="仿宋" w:eastAsia="仿宋" w:cs="仿宋"/>
          <w:sz w:val="21"/>
          <w:szCs w:val="21"/>
          <w:u w:val="single"/>
          <w:lang w:val="en-US" w:eastAsia="zh-CN"/>
        </w:rPr>
        <w:t>2025年全市道路交通安全隐患治理项目--城市道路交通组织优化项目</w:t>
      </w:r>
    </w:p>
    <w:p w14:paraId="14F24556">
      <w:pPr>
        <w:spacing w:line="360" w:lineRule="auto"/>
        <w:ind w:firstLine="420"/>
        <w:rPr>
          <w:rFonts w:hint="eastAsia" w:ascii="仿宋" w:hAnsi="仿宋" w:eastAsia="仿宋" w:cs="仿宋"/>
          <w:sz w:val="21"/>
          <w:szCs w:val="21"/>
          <w:lang w:val="en-US" w:eastAsia="zh-CN"/>
        </w:rPr>
      </w:pPr>
      <w:r>
        <w:rPr>
          <w:rFonts w:hint="eastAsia" w:ascii="仿宋" w:hAnsi="仿宋" w:eastAsia="仿宋" w:cs="仿宋"/>
          <w:sz w:val="21"/>
          <w:szCs w:val="21"/>
        </w:rPr>
        <w:t>3.采购方式：</w:t>
      </w:r>
      <w:r>
        <w:rPr>
          <w:rFonts w:hint="eastAsia" w:ascii="仿宋" w:hAnsi="仿宋" w:eastAsia="仿宋" w:cs="仿宋"/>
          <w:sz w:val="21"/>
          <w:szCs w:val="21"/>
          <w:u w:val="single"/>
        </w:rPr>
        <w:t>竞争性磋商</w:t>
      </w:r>
      <w:r>
        <w:rPr>
          <w:rFonts w:hint="eastAsia" w:ascii="仿宋" w:hAnsi="仿宋" w:eastAsia="仿宋" w:cs="仿宋"/>
          <w:sz w:val="21"/>
          <w:szCs w:val="21"/>
          <w:lang w:eastAsia="zh-CN"/>
        </w:rPr>
        <w:t>。</w:t>
      </w:r>
    </w:p>
    <w:p w14:paraId="14A686AC">
      <w:pPr>
        <w:pStyle w:val="8"/>
        <w:spacing w:before="0" w:after="0" w:line="360" w:lineRule="auto"/>
        <w:ind w:left="0" w:leftChars="0" w:firstLine="420" w:firstLineChars="200"/>
        <w:rPr>
          <w:rFonts w:hint="eastAsia" w:ascii="仿宋" w:hAnsi="仿宋" w:eastAsia="仿宋" w:cs="仿宋"/>
          <w:sz w:val="21"/>
          <w:szCs w:val="21"/>
          <w:highlight w:val="none"/>
          <w:lang w:eastAsia="zh-CN"/>
        </w:rPr>
      </w:pPr>
      <w:r>
        <w:rPr>
          <w:rFonts w:hint="eastAsia" w:ascii="仿宋" w:hAnsi="仿宋" w:eastAsia="仿宋" w:cs="仿宋"/>
          <w:sz w:val="21"/>
          <w:szCs w:val="21"/>
        </w:rPr>
        <w:t>4.预算金额：</w:t>
      </w:r>
      <w:r>
        <w:rPr>
          <w:rFonts w:hint="eastAsia" w:ascii="仿宋" w:hAnsi="仿宋" w:eastAsia="仿宋" w:cs="仿宋"/>
          <w:sz w:val="21"/>
          <w:szCs w:val="21"/>
          <w:u w:val="single"/>
          <w:lang w:val="en-US" w:eastAsia="zh-CN"/>
        </w:rPr>
        <w:t>98万元</w:t>
      </w:r>
      <w:r>
        <w:rPr>
          <w:rFonts w:hint="eastAsia" w:ascii="仿宋" w:hAnsi="仿宋" w:eastAsia="仿宋" w:cs="仿宋"/>
          <w:sz w:val="21"/>
          <w:szCs w:val="21"/>
          <w:u w:val="single"/>
        </w:rPr>
        <w:t>，（本项目设置最高限价：</w:t>
      </w:r>
      <w:r>
        <w:rPr>
          <w:rFonts w:hint="eastAsia" w:ascii="仿宋" w:hAnsi="仿宋" w:eastAsia="仿宋" w:cs="仿宋"/>
          <w:sz w:val="21"/>
          <w:szCs w:val="21"/>
          <w:u w:val="single"/>
          <w:lang w:val="en-US" w:eastAsia="zh-CN"/>
        </w:rPr>
        <w:t>93.1万元</w:t>
      </w:r>
      <w:r>
        <w:rPr>
          <w:rFonts w:hint="eastAsia" w:ascii="仿宋" w:hAnsi="仿宋" w:eastAsia="仿宋" w:cs="仿宋"/>
          <w:sz w:val="21"/>
          <w:szCs w:val="21"/>
          <w:u w:val="single"/>
        </w:rPr>
        <w:t>，超过最高限价为无效投标）</w:t>
      </w:r>
      <w:r>
        <w:rPr>
          <w:rFonts w:hint="eastAsia" w:ascii="仿宋" w:hAnsi="仿宋" w:eastAsia="仿宋" w:cs="仿宋"/>
          <w:sz w:val="21"/>
          <w:szCs w:val="21"/>
          <w:lang w:eastAsia="zh-CN"/>
        </w:rPr>
        <w:t>。</w:t>
      </w:r>
    </w:p>
    <w:p w14:paraId="4833687D">
      <w:pPr>
        <w:spacing w:line="360" w:lineRule="auto"/>
        <w:ind w:firstLine="420"/>
        <w:rPr>
          <w:rFonts w:hint="eastAsia" w:ascii="仿宋" w:hAnsi="仿宋" w:eastAsia="仿宋" w:cs="仿宋"/>
          <w:sz w:val="21"/>
          <w:szCs w:val="21"/>
          <w:highlight w:val="none"/>
          <w:u w:val="single"/>
          <w:lang w:eastAsia="zh-CN"/>
        </w:rPr>
      </w:pPr>
      <w:r>
        <w:rPr>
          <w:rFonts w:hint="eastAsia" w:ascii="仿宋" w:hAnsi="仿宋" w:eastAsia="仿宋" w:cs="仿宋"/>
          <w:sz w:val="21"/>
          <w:szCs w:val="21"/>
          <w:highlight w:val="none"/>
        </w:rPr>
        <w:t>6.采购需求：</w:t>
      </w:r>
      <w:r>
        <w:rPr>
          <w:rFonts w:hint="eastAsia" w:ascii="仿宋" w:hAnsi="仿宋" w:eastAsia="仿宋" w:cs="仿宋"/>
          <w:sz w:val="21"/>
          <w:szCs w:val="21"/>
          <w:highlight w:val="none"/>
          <w:u w:val="single"/>
          <w:lang w:val="en-US" w:eastAsia="zh-CN"/>
        </w:rPr>
        <w:t>详见本磋商文件的第四章</w:t>
      </w:r>
      <w:r>
        <w:rPr>
          <w:rFonts w:hint="eastAsia" w:ascii="仿宋" w:hAnsi="仿宋" w:eastAsia="仿宋" w:cs="仿宋"/>
          <w:sz w:val="21"/>
          <w:szCs w:val="21"/>
          <w:highlight w:val="none"/>
          <w:lang w:eastAsia="zh-CN"/>
        </w:rPr>
        <w:t>。</w:t>
      </w:r>
    </w:p>
    <w:p w14:paraId="1506C292">
      <w:pPr>
        <w:spacing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7.</w:t>
      </w:r>
      <w:r>
        <w:rPr>
          <w:rFonts w:hint="eastAsia" w:ascii="仿宋" w:hAnsi="仿宋" w:eastAsia="仿宋" w:cs="仿宋"/>
          <w:sz w:val="21"/>
          <w:szCs w:val="21"/>
          <w:highlight w:val="none"/>
          <w:lang w:val="en-US" w:eastAsia="zh-CN"/>
        </w:rPr>
        <w:t>服务期：</w:t>
      </w:r>
      <w:r>
        <w:rPr>
          <w:rFonts w:hint="eastAsia" w:ascii="仿宋" w:hAnsi="仿宋" w:eastAsia="仿宋" w:cs="仿宋"/>
          <w:sz w:val="21"/>
          <w:szCs w:val="21"/>
          <w:highlight w:val="none"/>
          <w:u w:val="single"/>
          <w:lang w:val="en-US" w:eastAsia="zh-CN"/>
        </w:rPr>
        <w:t>合同签订后3年。</w:t>
      </w:r>
    </w:p>
    <w:p w14:paraId="2317B9EC">
      <w:pPr>
        <w:spacing w:line="360" w:lineRule="auto"/>
        <w:ind w:firstLine="420"/>
        <w:rPr>
          <w:rFonts w:hint="eastAsia" w:ascii="仿宋" w:hAnsi="仿宋" w:eastAsia="仿宋" w:cs="仿宋"/>
          <w:color w:val="FF0000"/>
          <w:sz w:val="21"/>
          <w:szCs w:val="21"/>
          <w:highlight w:val="none"/>
        </w:rPr>
      </w:pPr>
      <w:r>
        <w:rPr>
          <w:rFonts w:hint="eastAsia" w:ascii="仿宋" w:hAnsi="仿宋" w:eastAsia="仿宋" w:cs="仿宋"/>
          <w:sz w:val="21"/>
          <w:szCs w:val="21"/>
          <w:highlight w:val="none"/>
        </w:rPr>
        <w:t>8.本项目</w:t>
      </w:r>
      <w:r>
        <w:rPr>
          <w:rFonts w:hint="eastAsia" w:ascii="仿宋" w:hAnsi="仿宋" w:eastAsia="仿宋" w:cs="仿宋"/>
          <w:sz w:val="21"/>
          <w:szCs w:val="21"/>
          <w:highlight w:val="green"/>
          <w:u w:val="single"/>
          <w:lang w:val="en-US" w:eastAsia="zh-CN"/>
        </w:rPr>
        <w:t>接受</w:t>
      </w:r>
      <w:r>
        <w:rPr>
          <w:rFonts w:hint="eastAsia" w:ascii="仿宋" w:hAnsi="仿宋" w:eastAsia="仿宋" w:cs="仿宋"/>
          <w:sz w:val="21"/>
          <w:szCs w:val="21"/>
          <w:highlight w:val="none"/>
        </w:rPr>
        <w:t>联合体响应，联合体中所有成员数量不得超过</w:t>
      </w:r>
      <w:r>
        <w:rPr>
          <w:rFonts w:hint="eastAsia" w:ascii="仿宋" w:hAnsi="仿宋" w:eastAsia="仿宋" w:cs="仿宋"/>
          <w:sz w:val="21"/>
          <w:szCs w:val="21"/>
          <w:highlight w:val="none"/>
          <w:u w:val="single"/>
          <w:lang w:val="en-US" w:eastAsia="zh-CN"/>
        </w:rPr>
        <w:t>2</w:t>
      </w:r>
      <w:r>
        <w:rPr>
          <w:rFonts w:hint="eastAsia" w:ascii="仿宋" w:hAnsi="仿宋" w:eastAsia="仿宋" w:cs="仿宋"/>
          <w:sz w:val="21"/>
          <w:szCs w:val="21"/>
          <w:highlight w:val="none"/>
        </w:rPr>
        <w:t>名。</w:t>
      </w:r>
    </w:p>
    <w:p w14:paraId="4576F839">
      <w:pPr>
        <w:spacing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9</w:t>
      </w:r>
      <w:r>
        <w:rPr>
          <w:rFonts w:hint="eastAsia" w:ascii="仿宋" w:hAnsi="仿宋" w:eastAsia="仿宋" w:cs="仿宋"/>
          <w:sz w:val="21"/>
          <w:szCs w:val="21"/>
          <w:highlight w:val="none"/>
        </w:rPr>
        <w:t>.本项目</w:t>
      </w:r>
      <w:r>
        <w:rPr>
          <w:rFonts w:hint="eastAsia" w:ascii="仿宋" w:hAnsi="仿宋" w:eastAsia="仿宋" w:cs="仿宋"/>
          <w:sz w:val="21"/>
          <w:szCs w:val="21"/>
          <w:highlight w:val="none"/>
          <w:lang w:val="en-US" w:eastAsia="zh-CN"/>
        </w:rPr>
        <w:t>不接受</w:t>
      </w:r>
      <w:r>
        <w:rPr>
          <w:rFonts w:hint="eastAsia" w:ascii="仿宋" w:hAnsi="仿宋" w:eastAsia="仿宋" w:cs="仿宋"/>
          <w:sz w:val="21"/>
          <w:szCs w:val="21"/>
          <w:highlight w:val="none"/>
        </w:rPr>
        <w:t>进口产品响应。</w:t>
      </w:r>
    </w:p>
    <w:p w14:paraId="4AE86388">
      <w:pPr>
        <w:pStyle w:val="198"/>
        <w:spacing w:before="0" w:after="0" w:line="360" w:lineRule="auto"/>
        <w:rPr>
          <w:rFonts w:hint="eastAsia" w:ascii="仿宋" w:hAnsi="仿宋" w:eastAsia="仿宋" w:cs="仿宋"/>
          <w:bCs w:val="0"/>
          <w:sz w:val="21"/>
          <w:szCs w:val="21"/>
        </w:rPr>
      </w:pPr>
      <w:bookmarkStart w:id="6" w:name="_Toc109304964"/>
      <w:r>
        <w:rPr>
          <w:rFonts w:hint="eastAsia" w:ascii="仿宋" w:hAnsi="仿宋" w:eastAsia="仿宋" w:cs="仿宋"/>
          <w:bCs w:val="0"/>
          <w:sz w:val="21"/>
          <w:szCs w:val="21"/>
        </w:rPr>
        <w:t>二、申请人的资格要求：</w:t>
      </w:r>
      <w:bookmarkEnd w:id="6"/>
    </w:p>
    <w:p w14:paraId="19AD17DE">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1.满足《中华人民共和国政府采购法》第二十二条规定，并提供下列材料：</w:t>
      </w:r>
    </w:p>
    <w:p w14:paraId="5F40D52C">
      <w:pPr>
        <w:spacing w:line="360" w:lineRule="auto"/>
        <w:ind w:firstLine="420"/>
        <w:rPr>
          <w:rFonts w:hint="eastAsia" w:ascii="仿宋" w:hAnsi="仿宋" w:eastAsia="仿宋" w:cs="仿宋"/>
          <w:i/>
          <w:iCs/>
          <w:sz w:val="21"/>
          <w:szCs w:val="21"/>
          <w:u w:val="single"/>
        </w:rPr>
      </w:pPr>
      <w:r>
        <w:rPr>
          <w:rFonts w:hint="eastAsia" w:ascii="仿宋" w:hAnsi="仿宋" w:eastAsia="仿宋" w:cs="仿宋"/>
          <w:i/>
          <w:iCs/>
          <w:sz w:val="21"/>
          <w:szCs w:val="21"/>
          <w:u w:val="single"/>
        </w:rPr>
        <w:t>1.1法人或者其他组织的营业执照等证明文件，自然人的身份证明</w:t>
      </w:r>
    </w:p>
    <w:p w14:paraId="6D27C20A">
      <w:pPr>
        <w:spacing w:line="360" w:lineRule="auto"/>
        <w:ind w:firstLine="420"/>
        <w:rPr>
          <w:rFonts w:hint="eastAsia" w:ascii="仿宋" w:hAnsi="仿宋" w:eastAsia="仿宋" w:cs="仿宋"/>
          <w:i/>
          <w:iCs/>
          <w:sz w:val="21"/>
          <w:szCs w:val="21"/>
          <w:u w:val="single"/>
        </w:rPr>
      </w:pPr>
      <w:r>
        <w:rPr>
          <w:rFonts w:hint="eastAsia" w:ascii="仿宋" w:hAnsi="仿宋" w:eastAsia="仿宋" w:cs="仿宋"/>
          <w:i/>
          <w:iCs/>
          <w:sz w:val="21"/>
          <w:szCs w:val="21"/>
          <w:u w:val="single"/>
        </w:rPr>
        <w:t>1.2依法缴纳职工社会保障资金的证明材料</w:t>
      </w:r>
      <w:r>
        <w:rPr>
          <w:rFonts w:hint="eastAsia" w:ascii="仿宋" w:hAnsi="仿宋" w:eastAsia="仿宋" w:cs="仿宋"/>
          <w:b/>
          <w:bCs/>
          <w:i/>
          <w:iCs/>
          <w:sz w:val="21"/>
          <w:szCs w:val="21"/>
          <w:u w:val="single"/>
        </w:rPr>
        <w:t>(税务、银行或社会保险基金管理部门出具的近三个月内任意一个月缴纳职工社会保障资金的缴款凭证或缴款证明)（供应商依法享受缓缴、免缴的提供证明材料）</w:t>
      </w:r>
    </w:p>
    <w:p w14:paraId="6A1EB6EC">
      <w:pPr>
        <w:spacing w:line="360" w:lineRule="auto"/>
        <w:ind w:firstLine="420"/>
        <w:rPr>
          <w:rFonts w:hint="eastAsia" w:ascii="仿宋" w:hAnsi="仿宋" w:eastAsia="仿宋" w:cs="仿宋"/>
          <w:b/>
          <w:bCs/>
          <w:i/>
          <w:iCs/>
          <w:color w:val="FF0000"/>
          <w:sz w:val="21"/>
          <w:szCs w:val="21"/>
          <w:u w:val="single"/>
        </w:rPr>
      </w:pPr>
      <w:r>
        <w:rPr>
          <w:rFonts w:hint="eastAsia" w:ascii="仿宋" w:hAnsi="仿宋" w:eastAsia="仿宋" w:cs="仿宋"/>
          <w:i/>
          <w:iCs/>
          <w:sz w:val="21"/>
          <w:szCs w:val="21"/>
          <w:u w:val="single"/>
        </w:rPr>
        <w:t>1.3供应商近三个月内任意一份依法纳税的缴款凭证</w:t>
      </w:r>
      <w:r>
        <w:rPr>
          <w:rFonts w:hint="eastAsia" w:ascii="仿宋" w:hAnsi="仿宋" w:eastAsia="仿宋" w:cs="仿宋"/>
          <w:b/>
          <w:bCs/>
          <w:i/>
          <w:iCs/>
          <w:sz w:val="21"/>
          <w:szCs w:val="21"/>
          <w:u w:val="single"/>
        </w:rPr>
        <w:t>（供应商依法享受缓缴、免缴的提供证明材料）</w:t>
      </w:r>
    </w:p>
    <w:p w14:paraId="35448C05">
      <w:pPr>
        <w:spacing w:line="360" w:lineRule="auto"/>
        <w:ind w:firstLine="420"/>
        <w:rPr>
          <w:rFonts w:hint="eastAsia" w:ascii="仿宋" w:hAnsi="仿宋" w:eastAsia="仿宋" w:cs="仿宋"/>
          <w:b/>
          <w:bCs/>
          <w:i/>
          <w:iCs/>
          <w:sz w:val="21"/>
          <w:szCs w:val="21"/>
          <w:u w:val="single"/>
        </w:rPr>
      </w:pPr>
      <w:r>
        <w:rPr>
          <w:rFonts w:hint="eastAsia" w:ascii="仿宋" w:hAnsi="仿宋" w:eastAsia="仿宋" w:cs="仿宋"/>
          <w:i/>
          <w:iCs/>
          <w:sz w:val="21"/>
          <w:szCs w:val="21"/>
          <w:u w:val="single"/>
        </w:rPr>
        <w:t>1.4上一年度的财务报告情况</w:t>
      </w:r>
      <w:r>
        <w:rPr>
          <w:rFonts w:hint="eastAsia" w:ascii="仿宋" w:hAnsi="仿宋" w:eastAsia="仿宋" w:cs="仿宋"/>
          <w:b/>
          <w:bCs/>
          <w:i/>
          <w:iCs/>
          <w:sz w:val="21"/>
          <w:szCs w:val="21"/>
          <w:u w:val="single"/>
        </w:rPr>
        <w:t>（成立不满一年不需提供）</w:t>
      </w:r>
    </w:p>
    <w:p w14:paraId="7524DF33">
      <w:pPr>
        <w:spacing w:line="360" w:lineRule="auto"/>
        <w:ind w:firstLine="420"/>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1.5具备履行合同所必需的设备和专业技术能力的</w:t>
      </w:r>
      <w:r>
        <w:rPr>
          <w:rFonts w:hint="eastAsia" w:ascii="仿宋" w:hAnsi="仿宋" w:eastAsia="仿宋" w:cs="仿宋"/>
          <w:i/>
          <w:iCs/>
          <w:sz w:val="21"/>
          <w:szCs w:val="21"/>
          <w:u w:val="single"/>
          <w:lang w:val="en-US" w:eastAsia="zh-CN"/>
        </w:rPr>
        <w:t>书面声明</w:t>
      </w:r>
    </w:p>
    <w:p w14:paraId="024952C9">
      <w:pPr>
        <w:spacing w:line="360" w:lineRule="auto"/>
        <w:ind w:firstLine="420"/>
        <w:rPr>
          <w:rFonts w:hint="eastAsia" w:ascii="仿宋" w:hAnsi="仿宋" w:eastAsia="仿宋" w:cs="仿宋"/>
          <w:i/>
          <w:iCs/>
          <w:sz w:val="21"/>
          <w:szCs w:val="21"/>
          <w:u w:val="single"/>
        </w:rPr>
      </w:pPr>
      <w:r>
        <w:rPr>
          <w:rFonts w:hint="eastAsia" w:ascii="仿宋" w:hAnsi="仿宋" w:eastAsia="仿宋" w:cs="仿宋"/>
          <w:i/>
          <w:iCs/>
          <w:sz w:val="21"/>
          <w:szCs w:val="21"/>
          <w:u w:val="single"/>
        </w:rPr>
        <w:t>1.6参加本次政府采购活动前3年内在经营活动中没有重大违法记录的书面声明</w:t>
      </w:r>
    </w:p>
    <w:p w14:paraId="272930F0">
      <w:pPr>
        <w:spacing w:line="360" w:lineRule="auto"/>
        <w:ind w:firstLine="420"/>
        <w:rPr>
          <w:rFonts w:hint="eastAsia" w:ascii="仿宋" w:hAnsi="仿宋" w:eastAsia="仿宋" w:cs="仿宋"/>
          <w:b/>
          <w:bCs/>
          <w:i/>
          <w:iCs/>
          <w:sz w:val="21"/>
          <w:szCs w:val="21"/>
          <w:u w:val="single"/>
        </w:rPr>
      </w:pPr>
      <w:r>
        <w:rPr>
          <w:rFonts w:hint="eastAsia" w:ascii="仿宋" w:hAnsi="仿宋" w:eastAsia="仿宋" w:cs="仿宋"/>
          <w:i/>
          <w:iCs/>
          <w:sz w:val="21"/>
          <w:szCs w:val="21"/>
          <w:u w:val="single"/>
        </w:rPr>
        <w:t>1.7未被“信用中国”网站（www.creditchina.gov.cn）、“中国政府采购网"(www.ccgp.gov.cn)列入失信被执行人、重大税收违法案件当事人名单、政府采购严重违法失信行为记录名单</w:t>
      </w:r>
    </w:p>
    <w:p w14:paraId="49C72F4C">
      <w:pPr>
        <w:spacing w:line="360" w:lineRule="auto"/>
        <w:ind w:firstLine="420"/>
        <w:rPr>
          <w:rFonts w:hint="eastAsia" w:ascii="仿宋" w:hAnsi="仿宋" w:eastAsia="仿宋" w:cs="仿宋"/>
          <w:i/>
          <w:iCs/>
          <w:sz w:val="21"/>
          <w:szCs w:val="21"/>
          <w:u w:val="single"/>
        </w:rPr>
      </w:pPr>
      <w:r>
        <w:rPr>
          <w:rFonts w:hint="eastAsia" w:ascii="仿宋" w:hAnsi="仿宋" w:eastAsia="仿宋" w:cs="仿宋"/>
          <w:i/>
          <w:iCs/>
          <w:sz w:val="21"/>
          <w:szCs w:val="21"/>
          <w:u w:val="single"/>
        </w:rPr>
        <w:t>1.8供应商信用承诺函</w:t>
      </w:r>
    </w:p>
    <w:p w14:paraId="6450B0C4">
      <w:pPr>
        <w:spacing w:line="360" w:lineRule="auto"/>
        <w:ind w:firstLine="540"/>
        <w:rPr>
          <w:rFonts w:hint="eastAsia" w:ascii="仿宋" w:hAnsi="仿宋" w:eastAsia="仿宋" w:cs="仿宋"/>
          <w:sz w:val="21"/>
          <w:szCs w:val="21"/>
          <w:highlight w:val="none"/>
          <w:u w:val="single"/>
        </w:rPr>
      </w:pPr>
      <w:r>
        <w:rPr>
          <w:rFonts w:hint="eastAsia" w:ascii="仿宋" w:hAnsi="仿宋" w:eastAsia="仿宋" w:cs="仿宋"/>
          <w:sz w:val="21"/>
          <w:szCs w:val="21"/>
        </w:rPr>
        <w:t>2.</w:t>
      </w:r>
      <w:r>
        <w:rPr>
          <w:rFonts w:hint="eastAsia" w:ascii="仿宋" w:hAnsi="仿宋" w:eastAsia="仿宋" w:cs="仿宋"/>
          <w:sz w:val="21"/>
          <w:szCs w:val="21"/>
          <w:highlight w:val="none"/>
        </w:rPr>
        <w:t>落实政府采购政策需满足的资格要求：</w:t>
      </w:r>
      <w:r>
        <w:rPr>
          <w:rFonts w:hint="eastAsia" w:ascii="仿宋" w:hAnsi="仿宋" w:eastAsia="仿宋" w:cs="仿宋"/>
          <w:i/>
          <w:iCs/>
          <w:sz w:val="21"/>
          <w:szCs w:val="21"/>
          <w:highlight w:val="none"/>
          <w:u w:val="single"/>
        </w:rPr>
        <w:t>根据《政府采购促进中小企业发展管理办法》规定，本项目</w:t>
      </w:r>
      <w:r>
        <w:rPr>
          <w:rFonts w:hint="eastAsia" w:ascii="仿宋" w:hAnsi="仿宋" w:eastAsia="仿宋" w:cs="仿宋"/>
          <w:i/>
          <w:iCs/>
          <w:sz w:val="21"/>
          <w:szCs w:val="21"/>
          <w:highlight w:val="none"/>
          <w:u w:val="single"/>
          <w:lang w:val="en-US" w:eastAsia="zh-CN"/>
        </w:rPr>
        <w:t>允许大中型企业和其他自然人、法人或者其他组织并与小型、微型企业（残疾人福利单位、监狱企业）组成联合体共同参加政府采购活动（需提供联合体协议）。联合体协议中约定，小型、微型企业（残疾人福利单位、监狱企业）的协议合同金额占到联合体协议合同总金额40%以上。</w:t>
      </w:r>
      <w:r>
        <w:rPr>
          <w:rFonts w:hint="eastAsia" w:ascii="仿宋" w:hAnsi="仿宋" w:eastAsia="仿宋" w:cs="仿宋"/>
          <w:i/>
          <w:iCs/>
          <w:sz w:val="21"/>
          <w:szCs w:val="21"/>
          <w:highlight w:val="none"/>
          <w:u w:val="single"/>
        </w:rPr>
        <w:t>投标人投标时</w:t>
      </w:r>
      <w:r>
        <w:rPr>
          <w:rFonts w:hint="eastAsia" w:ascii="仿宋" w:hAnsi="仿宋" w:eastAsia="仿宋" w:cs="仿宋"/>
          <w:i/>
          <w:iCs/>
          <w:sz w:val="21"/>
          <w:szCs w:val="21"/>
          <w:highlight w:val="none"/>
          <w:u w:val="single"/>
          <w:lang w:val="en-US" w:eastAsia="zh-CN"/>
        </w:rPr>
        <w:t>未</w:t>
      </w:r>
      <w:r>
        <w:rPr>
          <w:rFonts w:hint="eastAsia" w:ascii="仿宋" w:hAnsi="仿宋" w:eastAsia="仿宋" w:cs="仿宋"/>
          <w:i/>
          <w:iCs/>
          <w:sz w:val="21"/>
          <w:szCs w:val="21"/>
          <w:highlight w:val="none"/>
          <w:u w:val="single"/>
        </w:rPr>
        <w:t>提供《中小企业声明函》，</w:t>
      </w:r>
      <w:r>
        <w:rPr>
          <w:rFonts w:hint="eastAsia" w:ascii="仿宋" w:hAnsi="仿宋" w:eastAsia="仿宋" w:cs="仿宋"/>
          <w:i/>
          <w:iCs/>
          <w:sz w:val="21"/>
          <w:szCs w:val="21"/>
          <w:highlight w:val="none"/>
          <w:u w:val="single"/>
          <w:lang w:val="en-US" w:eastAsia="zh-CN"/>
        </w:rPr>
        <w:t>或</w:t>
      </w:r>
      <w:r>
        <w:rPr>
          <w:rFonts w:hint="eastAsia" w:ascii="仿宋" w:hAnsi="仿宋" w:eastAsia="仿宋" w:cs="仿宋"/>
          <w:i/>
          <w:iCs/>
          <w:sz w:val="21"/>
          <w:szCs w:val="21"/>
          <w:highlight w:val="none"/>
          <w:u w:val="single"/>
        </w:rPr>
        <w:t>《中小企业声明函》不符合要求</w:t>
      </w:r>
      <w:r>
        <w:rPr>
          <w:rFonts w:hint="eastAsia" w:ascii="仿宋" w:hAnsi="仿宋" w:eastAsia="仿宋" w:cs="仿宋"/>
          <w:i/>
          <w:iCs/>
          <w:sz w:val="21"/>
          <w:szCs w:val="21"/>
          <w:highlight w:val="none"/>
          <w:u w:val="single"/>
          <w:lang w:val="en-US" w:eastAsia="zh-CN"/>
        </w:rPr>
        <w:t>的，资格审查不通过</w:t>
      </w:r>
      <w:r>
        <w:rPr>
          <w:rFonts w:hint="eastAsia" w:ascii="仿宋" w:hAnsi="仿宋" w:eastAsia="仿宋" w:cs="仿宋"/>
          <w:i/>
          <w:iCs/>
          <w:sz w:val="21"/>
          <w:szCs w:val="21"/>
          <w:highlight w:val="none"/>
          <w:u w:val="single"/>
        </w:rPr>
        <w:t>。项目类型为软件和信息技术服务业</w:t>
      </w:r>
      <w:r>
        <w:rPr>
          <w:rFonts w:hint="eastAsia" w:ascii="仿宋" w:hAnsi="仿宋" w:eastAsia="仿宋" w:cs="仿宋"/>
          <w:sz w:val="21"/>
          <w:szCs w:val="21"/>
          <w:highlight w:val="none"/>
          <w:u w:val="single"/>
        </w:rPr>
        <w:t>。</w:t>
      </w:r>
    </w:p>
    <w:p w14:paraId="6531DC35">
      <w:pPr>
        <w:spacing w:line="360" w:lineRule="auto"/>
        <w:ind w:firstLine="540"/>
        <w:rPr>
          <w:rFonts w:hint="eastAsia" w:ascii="仿宋" w:hAnsi="仿宋" w:eastAsia="仿宋" w:cs="仿宋"/>
          <w:i/>
          <w:iCs/>
          <w:color w:val="auto"/>
          <w:sz w:val="21"/>
          <w:szCs w:val="21"/>
          <w:u w:val="single"/>
          <w:lang w:val="en" w:eastAsia="zh-CN"/>
        </w:rPr>
      </w:pPr>
      <w:r>
        <w:rPr>
          <w:rFonts w:hint="eastAsia" w:ascii="仿宋" w:hAnsi="仿宋" w:eastAsia="仿宋" w:cs="仿宋"/>
          <w:sz w:val="21"/>
          <w:szCs w:val="21"/>
          <w:lang w:val="en"/>
        </w:rPr>
        <w:t>3.本项目的特定资格要</w:t>
      </w:r>
      <w:r>
        <w:rPr>
          <w:rFonts w:hint="eastAsia" w:ascii="仿宋" w:hAnsi="仿宋" w:eastAsia="仿宋" w:cs="仿宋"/>
          <w:i/>
          <w:iCs/>
          <w:color w:val="auto"/>
          <w:sz w:val="21"/>
          <w:szCs w:val="21"/>
          <w:lang w:val="en"/>
        </w:rPr>
        <w:t>求：</w:t>
      </w:r>
      <w:r>
        <w:rPr>
          <w:rFonts w:hint="eastAsia" w:ascii="仿宋" w:hAnsi="仿宋" w:eastAsia="仿宋" w:cs="仿宋"/>
          <w:i/>
          <w:iCs/>
          <w:color w:val="auto"/>
          <w:sz w:val="21"/>
          <w:szCs w:val="21"/>
          <w:u w:val="single"/>
          <w:lang w:val="en-US" w:eastAsia="zh-CN"/>
        </w:rPr>
        <w:t>无</w:t>
      </w:r>
      <w:r>
        <w:rPr>
          <w:rFonts w:hint="eastAsia" w:ascii="仿宋" w:hAnsi="仿宋" w:eastAsia="仿宋" w:cs="仿宋"/>
          <w:i/>
          <w:iCs/>
          <w:szCs w:val="21"/>
          <w:u w:val="single"/>
          <w:lang w:eastAsia="zh-CN"/>
        </w:rPr>
        <w:t>。</w:t>
      </w:r>
    </w:p>
    <w:p w14:paraId="137E616D">
      <w:pPr>
        <w:pStyle w:val="198"/>
        <w:spacing w:before="0" w:after="0" w:line="360" w:lineRule="auto"/>
        <w:rPr>
          <w:rFonts w:hint="eastAsia" w:ascii="仿宋" w:hAnsi="仿宋" w:eastAsia="仿宋" w:cs="仿宋"/>
          <w:bCs w:val="0"/>
          <w:sz w:val="21"/>
          <w:szCs w:val="21"/>
        </w:rPr>
      </w:pPr>
      <w:r>
        <w:rPr>
          <w:rFonts w:hint="eastAsia" w:ascii="仿宋" w:hAnsi="仿宋" w:eastAsia="仿宋" w:cs="仿宋"/>
          <w:bCs w:val="0"/>
          <w:sz w:val="21"/>
          <w:szCs w:val="21"/>
        </w:rPr>
        <w:t>三、获取采购文件</w:t>
      </w:r>
      <w:bookmarkEnd w:id="4"/>
    </w:p>
    <w:p w14:paraId="40873810">
      <w:pPr>
        <w:spacing w:line="360" w:lineRule="auto"/>
        <w:ind w:firstLine="54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1.时间：自磋商公告发布之日起5个工作日。5个工作日后仍可下载采购文件，但不作为供应商权益受到损害的证明材料和依据。</w:t>
      </w:r>
    </w:p>
    <w:p w14:paraId="7AAAD833">
      <w:pPr>
        <w:spacing w:line="360" w:lineRule="auto"/>
        <w:ind w:firstLine="54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2.获取方式：本项目采用网上注册登记方式。</w:t>
      </w:r>
    </w:p>
    <w:p w14:paraId="5B9FEDCD">
      <w:pPr>
        <w:spacing w:line="360" w:lineRule="auto"/>
        <w:ind w:firstLine="54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3.潜在供应商访问政府采购管理交易系统（苏采云）的网络地址和方法：</w:t>
      </w:r>
    </w:p>
    <w:p w14:paraId="3478A91D">
      <w:pPr>
        <w:spacing w:line="360" w:lineRule="auto"/>
        <w:ind w:firstLine="540"/>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74B544A4">
      <w:pPr>
        <w:spacing w:line="360" w:lineRule="auto"/>
        <w:ind w:firstLine="540"/>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（2）“CA数字证书”的获取：供应商需办理CA锁，“苏采云”系统目前仅支持“苏采云”系统下的政务CA，省内各地区办理的“苏采云”系统下的政务CA全省通用。</w:t>
      </w:r>
    </w:p>
    <w:p w14:paraId="22F76838">
      <w:pPr>
        <w:spacing w:line="360" w:lineRule="auto"/>
        <w:ind w:firstLine="540"/>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（3）“CA数字证书”的办理材料以及供应商操作手册详见：</w:t>
      </w:r>
    </w:p>
    <w:p w14:paraId="01688750">
      <w:pPr>
        <w:spacing w:line="360" w:lineRule="auto"/>
        <w:ind w:firstLine="540"/>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http://zfcg.yangzhou.gov.cn/zfcg/xzzx/202309/4d7de1f7865f4a2894fc22bc452f94d8.shtml。</w:t>
      </w:r>
    </w:p>
    <w:p w14:paraId="6251DFDA">
      <w:pPr>
        <w:spacing w:line="360" w:lineRule="auto"/>
        <w:ind w:firstLine="540"/>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（4）潜在供应商访问“苏采云”系统的网络地址和方法：“苏采云”系统的网址：http://jszfcg.jsczt.cn/。</w:t>
      </w:r>
    </w:p>
    <w:p w14:paraId="27454EDA">
      <w:pPr>
        <w:spacing w:line="360" w:lineRule="auto"/>
        <w:ind w:firstLine="540"/>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（5）采购文件（后缀名为“.kedt”）、供应商操作手册及政府采购客户端工具也可通过“苏采云”系统--已报名项目--报名详情页面内相应链接进行下载。</w:t>
      </w:r>
    </w:p>
    <w:p w14:paraId="10ADBA21">
      <w:pPr>
        <w:spacing w:line="360" w:lineRule="auto"/>
        <w:ind w:firstLine="54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（6）招标代理机构（采购代理机构）将数据电文形式的采购文件加载至“苏采云”系统，供潜在供应商下载或者查阅。     </w:t>
      </w:r>
    </w:p>
    <w:p w14:paraId="0217CA49">
      <w:pPr>
        <w:spacing w:line="360" w:lineRule="auto"/>
        <w:ind w:firstLine="540"/>
        <w:rPr>
          <w:rFonts w:hint="eastAsia" w:ascii="仿宋" w:hAnsi="仿宋" w:eastAsia="仿宋" w:cs="仿宋"/>
          <w:b w:val="0"/>
          <w:bCs w:val="0"/>
          <w:color w:val="000000"/>
          <w:sz w:val="21"/>
          <w:szCs w:val="21"/>
          <w:u w:val="single"/>
        </w:rPr>
      </w:pPr>
      <w:r>
        <w:rPr>
          <w:rFonts w:hint="eastAsia" w:ascii="仿宋" w:hAnsi="仿宋" w:eastAsia="仿宋" w:cs="仿宋"/>
          <w:b w:val="0"/>
          <w:bCs w:val="0"/>
          <w:color w:val="000000"/>
          <w:sz w:val="21"/>
          <w:szCs w:val="21"/>
          <w:lang w:val="en-US" w:eastAsia="zh-CN"/>
        </w:rPr>
        <w:t>（7）苏采云系统使用谷歌浏览器参与不见面开标</w:t>
      </w:r>
      <w:r>
        <w:rPr>
          <w:rFonts w:hint="eastAsia" w:ascii="仿宋" w:hAnsi="仿宋" w:eastAsia="仿宋" w:cs="仿宋"/>
          <w:b w:val="0"/>
          <w:bCs w:val="0"/>
          <w:color w:val="000000"/>
          <w:sz w:val="21"/>
          <w:szCs w:val="21"/>
        </w:rPr>
        <w:t>。</w:t>
      </w:r>
    </w:p>
    <w:p w14:paraId="3978031F">
      <w:pPr>
        <w:pStyle w:val="198"/>
        <w:spacing w:before="0" w:after="0" w:line="360" w:lineRule="auto"/>
        <w:rPr>
          <w:rFonts w:hint="eastAsia" w:ascii="仿宋" w:hAnsi="仿宋" w:eastAsia="仿宋" w:cs="仿宋"/>
          <w:bCs w:val="0"/>
          <w:sz w:val="21"/>
          <w:szCs w:val="21"/>
        </w:rPr>
      </w:pPr>
      <w:bookmarkStart w:id="7" w:name="_Toc109304966"/>
      <w:r>
        <w:rPr>
          <w:rFonts w:hint="eastAsia" w:ascii="仿宋" w:hAnsi="仿宋" w:eastAsia="仿宋" w:cs="仿宋"/>
          <w:bCs w:val="0"/>
          <w:sz w:val="21"/>
          <w:szCs w:val="21"/>
        </w:rPr>
        <w:t>四、响应文件提交</w:t>
      </w:r>
      <w:bookmarkEnd w:id="7"/>
    </w:p>
    <w:p w14:paraId="7351E0A4">
      <w:pPr>
        <w:spacing w:line="360" w:lineRule="auto"/>
        <w:ind w:firstLine="420"/>
        <w:rPr>
          <w:rFonts w:hint="eastAsia" w:ascii="仿宋" w:hAnsi="仿宋" w:eastAsia="仿宋" w:cs="仿宋"/>
          <w:bCs/>
          <w:sz w:val="21"/>
          <w:szCs w:val="21"/>
          <w:u w:val="single"/>
        </w:rPr>
      </w:pPr>
      <w:r>
        <w:rPr>
          <w:rFonts w:hint="eastAsia" w:ascii="仿宋" w:hAnsi="仿宋" w:eastAsia="仿宋" w:cs="仿宋"/>
          <w:sz w:val="21"/>
          <w:szCs w:val="21"/>
        </w:rPr>
        <w:t>1.截止时间：</w:t>
      </w:r>
      <w:r>
        <w:rPr>
          <w:rFonts w:hint="eastAsia" w:ascii="仿宋" w:hAnsi="仿宋" w:eastAsia="仿宋" w:cs="仿宋"/>
          <w:bCs/>
          <w:sz w:val="21"/>
          <w:szCs w:val="21"/>
          <w:u w:val="single"/>
          <w:lang w:eastAsia="zh-CN"/>
        </w:rPr>
        <w:t>2025年</w:t>
      </w:r>
      <w:r>
        <w:rPr>
          <w:rFonts w:hint="eastAsia" w:ascii="仿宋" w:hAnsi="仿宋" w:eastAsia="仿宋" w:cs="仿宋"/>
          <w:bCs/>
          <w:sz w:val="21"/>
          <w:szCs w:val="21"/>
          <w:u w:val="single"/>
          <w:lang w:val="en-US" w:eastAsia="zh-CN"/>
        </w:rPr>
        <w:t>12</w:t>
      </w:r>
      <w:r>
        <w:rPr>
          <w:rFonts w:hint="eastAsia" w:ascii="仿宋" w:hAnsi="仿宋" w:eastAsia="仿宋" w:cs="仿宋"/>
          <w:bCs/>
          <w:sz w:val="21"/>
          <w:szCs w:val="21"/>
          <w:u w:val="single"/>
          <w:lang w:eastAsia="zh-CN"/>
        </w:rPr>
        <w:t>月</w:t>
      </w:r>
      <w:r>
        <w:rPr>
          <w:rFonts w:hint="eastAsia" w:ascii="仿宋" w:hAnsi="仿宋" w:eastAsia="仿宋" w:cs="仿宋"/>
          <w:bCs/>
          <w:sz w:val="21"/>
          <w:szCs w:val="21"/>
          <w:u w:val="single"/>
          <w:lang w:val="en-US" w:eastAsia="zh-CN"/>
        </w:rPr>
        <w:t>29日14点30分</w:t>
      </w:r>
      <w:r>
        <w:rPr>
          <w:rFonts w:hint="eastAsia" w:ascii="仿宋" w:hAnsi="仿宋" w:eastAsia="仿宋" w:cs="仿宋"/>
          <w:bCs/>
          <w:sz w:val="21"/>
          <w:szCs w:val="21"/>
        </w:rPr>
        <w:t>（北京时间）</w:t>
      </w:r>
    </w:p>
    <w:p w14:paraId="3B2B1BCA">
      <w:pPr>
        <w:spacing w:line="360" w:lineRule="auto"/>
        <w:ind w:firstLine="422"/>
        <w:rPr>
          <w:rFonts w:hint="eastAsia" w:ascii="仿宋" w:hAnsi="仿宋" w:eastAsia="仿宋" w:cs="仿宋"/>
          <w:bCs/>
          <w:color w:val="auto"/>
          <w:sz w:val="21"/>
          <w:szCs w:val="21"/>
          <w:u w:val="single"/>
        </w:rPr>
      </w:pPr>
      <w:bookmarkStart w:id="8" w:name="_Toc109304967"/>
      <w:r>
        <w:rPr>
          <w:rFonts w:hint="eastAsia" w:ascii="仿宋" w:hAnsi="仿宋" w:eastAsia="仿宋" w:cs="仿宋"/>
          <w:b/>
          <w:bCs/>
          <w:color w:val="auto"/>
          <w:sz w:val="21"/>
          <w:szCs w:val="21"/>
        </w:rPr>
        <w:t>2.投标地点：“苏采云”系统（网址：http://jszfcg.jsczt.cn/）“报名详情”</w:t>
      </w:r>
    </w:p>
    <w:p w14:paraId="59789412">
      <w:pPr>
        <w:pStyle w:val="198"/>
        <w:spacing w:before="0" w:after="0" w:line="360" w:lineRule="auto"/>
        <w:rPr>
          <w:rFonts w:hint="eastAsia" w:ascii="仿宋" w:hAnsi="仿宋" w:eastAsia="仿宋" w:cs="仿宋"/>
          <w:bCs w:val="0"/>
          <w:color w:val="auto"/>
          <w:sz w:val="21"/>
          <w:szCs w:val="21"/>
        </w:rPr>
      </w:pPr>
      <w:r>
        <w:rPr>
          <w:rFonts w:hint="eastAsia" w:ascii="仿宋" w:hAnsi="仿宋" w:eastAsia="仿宋" w:cs="仿宋"/>
          <w:bCs w:val="0"/>
          <w:color w:val="auto"/>
          <w:sz w:val="21"/>
          <w:szCs w:val="21"/>
        </w:rPr>
        <w:t>五、开启</w:t>
      </w:r>
      <w:bookmarkEnd w:id="8"/>
    </w:p>
    <w:p w14:paraId="25DFA89B">
      <w:pPr>
        <w:pStyle w:val="199"/>
        <w:spacing w:line="360" w:lineRule="auto"/>
        <w:rPr>
          <w:rFonts w:hint="eastAsia" w:ascii="仿宋" w:hAnsi="仿宋" w:eastAsia="仿宋" w:cs="仿宋"/>
          <w:bCs/>
          <w:color w:val="auto"/>
          <w:sz w:val="21"/>
          <w:szCs w:val="21"/>
        </w:rPr>
      </w:pPr>
      <w:r>
        <w:rPr>
          <w:rFonts w:hint="eastAsia" w:ascii="仿宋" w:hAnsi="仿宋" w:eastAsia="仿宋" w:cs="仿宋"/>
          <w:color w:val="auto"/>
          <w:sz w:val="21"/>
          <w:szCs w:val="21"/>
        </w:rPr>
        <w:t>1.</w:t>
      </w:r>
      <w:r>
        <w:rPr>
          <w:rFonts w:hint="eastAsia" w:ascii="仿宋" w:hAnsi="仿宋" w:eastAsia="仿宋" w:cs="仿宋"/>
          <w:color w:val="auto"/>
          <w:sz w:val="21"/>
          <w:szCs w:val="21"/>
          <w:lang w:val="en-US" w:eastAsia="zh-CN"/>
        </w:rPr>
        <w:t>开启</w:t>
      </w:r>
      <w:r>
        <w:rPr>
          <w:rFonts w:hint="eastAsia" w:ascii="仿宋" w:hAnsi="仿宋" w:eastAsia="仿宋" w:cs="仿宋"/>
          <w:color w:val="auto"/>
          <w:sz w:val="21"/>
          <w:szCs w:val="21"/>
        </w:rPr>
        <w:t>时间</w:t>
      </w:r>
      <w:r>
        <w:rPr>
          <w:rFonts w:hint="eastAsia" w:ascii="仿宋" w:hAnsi="仿宋" w:eastAsia="仿宋" w:cs="仿宋"/>
          <w:color w:val="auto"/>
          <w:sz w:val="21"/>
          <w:szCs w:val="21"/>
          <w:lang w:eastAsia="zh-CN"/>
        </w:rPr>
        <w:t>：</w:t>
      </w:r>
      <w:r>
        <w:rPr>
          <w:rFonts w:hint="eastAsia" w:ascii="仿宋" w:hAnsi="仿宋" w:eastAsia="仿宋" w:cs="仿宋"/>
          <w:bCs/>
          <w:sz w:val="21"/>
          <w:szCs w:val="21"/>
          <w:u w:val="single"/>
          <w:lang w:eastAsia="zh-CN"/>
        </w:rPr>
        <w:t>2025年</w:t>
      </w:r>
      <w:r>
        <w:rPr>
          <w:rFonts w:hint="eastAsia" w:ascii="仿宋" w:hAnsi="仿宋" w:eastAsia="仿宋" w:cs="仿宋"/>
          <w:bCs/>
          <w:sz w:val="21"/>
          <w:szCs w:val="21"/>
          <w:u w:val="single"/>
          <w:lang w:val="en-US" w:eastAsia="zh-CN"/>
        </w:rPr>
        <w:t>12</w:t>
      </w:r>
      <w:r>
        <w:rPr>
          <w:rFonts w:hint="eastAsia" w:ascii="仿宋" w:hAnsi="仿宋" w:eastAsia="仿宋" w:cs="仿宋"/>
          <w:bCs/>
          <w:sz w:val="21"/>
          <w:szCs w:val="21"/>
          <w:u w:val="single"/>
          <w:lang w:eastAsia="zh-CN"/>
        </w:rPr>
        <w:t>月</w:t>
      </w:r>
      <w:r>
        <w:rPr>
          <w:rFonts w:hint="eastAsia" w:ascii="仿宋" w:hAnsi="仿宋" w:eastAsia="仿宋" w:cs="仿宋"/>
          <w:bCs/>
          <w:sz w:val="21"/>
          <w:szCs w:val="21"/>
          <w:u w:val="single"/>
          <w:lang w:val="en-US" w:eastAsia="zh-CN"/>
        </w:rPr>
        <w:t>29日14点30分</w:t>
      </w:r>
      <w:r>
        <w:rPr>
          <w:rFonts w:hint="eastAsia" w:ascii="仿宋" w:hAnsi="仿宋" w:eastAsia="仿宋" w:cs="仿宋"/>
          <w:bCs/>
          <w:color w:val="auto"/>
          <w:sz w:val="21"/>
          <w:szCs w:val="21"/>
        </w:rPr>
        <w:t>（北京时间）</w:t>
      </w:r>
    </w:p>
    <w:p w14:paraId="74DEF1A0">
      <w:pPr>
        <w:spacing w:line="360" w:lineRule="auto"/>
        <w:ind w:firstLine="422"/>
        <w:rPr>
          <w:rFonts w:hint="eastAsia" w:ascii="仿宋" w:hAnsi="仿宋" w:eastAsia="仿宋" w:cs="仿宋"/>
          <w:b/>
          <w:color w:val="auto"/>
          <w:sz w:val="21"/>
          <w:szCs w:val="21"/>
        </w:rPr>
      </w:pPr>
      <w:bookmarkStart w:id="9" w:name="_Toc109304968"/>
      <w:r>
        <w:rPr>
          <w:rFonts w:hint="eastAsia" w:ascii="仿宋" w:hAnsi="仿宋" w:eastAsia="仿宋" w:cs="仿宋"/>
          <w:b/>
          <w:color w:val="auto"/>
          <w:sz w:val="21"/>
          <w:szCs w:val="21"/>
        </w:rPr>
        <w:t>2.开标地点：“苏采云”系统（网址：http://jszfcg.jsczt.cn/）“开标大厅”</w:t>
      </w:r>
    </w:p>
    <w:p w14:paraId="422DE1E4">
      <w:pPr>
        <w:pStyle w:val="198"/>
        <w:spacing w:before="0" w:after="0" w:line="360" w:lineRule="auto"/>
        <w:rPr>
          <w:rFonts w:hint="eastAsia" w:ascii="仿宋" w:hAnsi="仿宋" w:eastAsia="仿宋" w:cs="仿宋"/>
          <w:bCs w:val="0"/>
          <w:sz w:val="21"/>
          <w:szCs w:val="21"/>
        </w:rPr>
      </w:pPr>
      <w:r>
        <w:rPr>
          <w:rFonts w:hint="eastAsia" w:ascii="仿宋" w:hAnsi="仿宋" w:eastAsia="仿宋" w:cs="仿宋"/>
          <w:bCs w:val="0"/>
          <w:sz w:val="21"/>
          <w:szCs w:val="21"/>
        </w:rPr>
        <w:t>六、公告期限</w:t>
      </w:r>
      <w:bookmarkEnd w:id="9"/>
    </w:p>
    <w:p w14:paraId="6157A5DD">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自本公告发布之日起5个工作日。</w:t>
      </w:r>
      <w:bookmarkStart w:id="10" w:name="_Toc109304969"/>
    </w:p>
    <w:bookmarkEnd w:id="10"/>
    <w:p w14:paraId="110C519C">
      <w:pPr>
        <w:pStyle w:val="198"/>
        <w:spacing w:before="0" w:after="0" w:line="360" w:lineRule="auto"/>
        <w:rPr>
          <w:rFonts w:hint="eastAsia" w:ascii="仿宋" w:hAnsi="仿宋" w:eastAsia="仿宋" w:cs="仿宋"/>
          <w:bCs w:val="0"/>
          <w:sz w:val="21"/>
          <w:szCs w:val="21"/>
        </w:rPr>
      </w:pPr>
      <w:bookmarkStart w:id="11" w:name="_Toc109304970"/>
      <w:r>
        <w:rPr>
          <w:rFonts w:hint="eastAsia" w:ascii="仿宋" w:hAnsi="仿宋" w:eastAsia="仿宋" w:cs="仿宋"/>
          <w:bCs w:val="0"/>
          <w:sz w:val="21"/>
          <w:szCs w:val="21"/>
          <w:lang w:val="en-US" w:eastAsia="zh-CN"/>
        </w:rPr>
        <w:t>七、</w:t>
      </w:r>
      <w:r>
        <w:rPr>
          <w:rFonts w:hint="eastAsia" w:ascii="仿宋" w:hAnsi="仿宋" w:eastAsia="仿宋" w:cs="仿宋"/>
          <w:bCs w:val="0"/>
          <w:sz w:val="21"/>
          <w:szCs w:val="21"/>
        </w:rPr>
        <w:t>本次竞争性磋商联系方式</w:t>
      </w:r>
      <w:bookmarkEnd w:id="11"/>
    </w:p>
    <w:p w14:paraId="31FAF1D9">
      <w:pPr>
        <w:pStyle w:val="212"/>
        <w:spacing w:line="360" w:lineRule="auto"/>
        <w:ind w:firstLine="420"/>
        <w:rPr>
          <w:rFonts w:hint="eastAsia" w:ascii="仿宋" w:hAnsi="仿宋" w:eastAsia="仿宋" w:cs="仿宋"/>
          <w:b w:val="0"/>
          <w:bCs w:val="0"/>
          <w:sz w:val="21"/>
          <w:szCs w:val="21"/>
        </w:rPr>
      </w:pPr>
      <w:bookmarkStart w:id="12" w:name="_Toc28359019"/>
      <w:bookmarkStart w:id="13" w:name="_Toc28359096"/>
      <w:bookmarkStart w:id="14" w:name="_Toc35393806"/>
      <w:bookmarkStart w:id="15" w:name="_Toc35393637"/>
      <w:r>
        <w:rPr>
          <w:rFonts w:hint="eastAsia" w:ascii="仿宋" w:hAnsi="仿宋" w:eastAsia="仿宋" w:cs="仿宋"/>
          <w:b w:val="0"/>
          <w:bCs w:val="0"/>
          <w:sz w:val="21"/>
          <w:szCs w:val="21"/>
        </w:rPr>
        <w:t>1.采购人信息</w:t>
      </w:r>
      <w:bookmarkEnd w:id="12"/>
      <w:bookmarkEnd w:id="13"/>
      <w:bookmarkEnd w:id="14"/>
      <w:bookmarkEnd w:id="15"/>
    </w:p>
    <w:p w14:paraId="533512E5">
      <w:pPr>
        <w:pStyle w:val="212"/>
        <w:spacing w:line="360" w:lineRule="auto"/>
        <w:ind w:firstLine="420"/>
        <w:rPr>
          <w:rFonts w:hint="eastAsia" w:ascii="仿宋" w:hAnsi="仿宋" w:eastAsia="仿宋" w:cs="仿宋"/>
          <w:b w:val="0"/>
          <w:bCs w:val="0"/>
          <w:sz w:val="21"/>
          <w:szCs w:val="21"/>
          <w:u w:val="single"/>
          <w:lang w:eastAsia="zh-CN"/>
        </w:rPr>
      </w:pPr>
      <w:r>
        <w:rPr>
          <w:rFonts w:hint="eastAsia" w:ascii="仿宋" w:hAnsi="仿宋" w:eastAsia="仿宋" w:cs="仿宋"/>
          <w:b w:val="0"/>
          <w:bCs w:val="0"/>
          <w:sz w:val="21"/>
          <w:szCs w:val="21"/>
        </w:rPr>
        <w:t>名称：</w:t>
      </w:r>
      <w:r>
        <w:rPr>
          <w:rFonts w:hint="eastAsia" w:ascii="仿宋" w:hAnsi="仿宋" w:eastAsia="仿宋" w:cs="仿宋"/>
          <w:b w:val="0"/>
          <w:bCs w:val="0"/>
          <w:sz w:val="21"/>
          <w:szCs w:val="21"/>
          <w:u w:val="single"/>
          <w:lang w:val="en" w:eastAsia="zh-CN"/>
        </w:rPr>
        <w:t>高邮市公安局</w:t>
      </w:r>
    </w:p>
    <w:p w14:paraId="53A4CD24">
      <w:pPr>
        <w:pStyle w:val="212"/>
        <w:spacing w:line="360" w:lineRule="auto"/>
        <w:ind w:firstLine="420"/>
        <w:rPr>
          <w:rFonts w:hint="eastAsia" w:ascii="仿宋" w:hAnsi="仿宋" w:eastAsia="仿宋" w:cs="仿宋"/>
          <w:b w:val="0"/>
          <w:bCs w:val="0"/>
          <w:sz w:val="21"/>
          <w:szCs w:val="21"/>
          <w:u w:val="single"/>
          <w:lang w:val="en-US" w:eastAsia="zh-CN"/>
        </w:rPr>
      </w:pPr>
      <w:r>
        <w:rPr>
          <w:rFonts w:hint="eastAsia" w:ascii="仿宋" w:hAnsi="仿宋" w:eastAsia="仿宋" w:cs="仿宋"/>
          <w:b w:val="0"/>
          <w:bCs w:val="0"/>
          <w:sz w:val="21"/>
          <w:szCs w:val="21"/>
        </w:rPr>
        <w:t>地址：</w:t>
      </w:r>
      <w:r>
        <w:rPr>
          <w:rFonts w:hint="eastAsia" w:ascii="仿宋" w:hAnsi="仿宋" w:eastAsia="仿宋" w:cs="仿宋"/>
          <w:b w:val="0"/>
          <w:bCs w:val="0"/>
          <w:sz w:val="21"/>
          <w:szCs w:val="21"/>
          <w:u w:val="single"/>
        </w:rPr>
        <w:t>江苏省扬州市高邮市</w:t>
      </w:r>
      <w:r>
        <w:rPr>
          <w:rFonts w:hint="eastAsia" w:ascii="仿宋" w:hAnsi="仿宋" w:eastAsia="仿宋" w:cs="仿宋"/>
          <w:b w:val="0"/>
          <w:bCs w:val="0"/>
          <w:sz w:val="21"/>
          <w:szCs w:val="21"/>
          <w:u w:val="single"/>
          <w:lang w:val="en-US" w:eastAsia="zh-CN"/>
        </w:rPr>
        <w:t>平安</w:t>
      </w:r>
      <w:r>
        <w:rPr>
          <w:rFonts w:hint="eastAsia" w:ascii="仿宋" w:hAnsi="仿宋" w:eastAsia="仿宋" w:cs="仿宋"/>
          <w:b w:val="0"/>
          <w:bCs w:val="0"/>
          <w:sz w:val="21"/>
          <w:szCs w:val="21"/>
          <w:u w:val="single"/>
        </w:rPr>
        <w:t>路</w:t>
      </w:r>
    </w:p>
    <w:p w14:paraId="6536C670">
      <w:pPr>
        <w:pStyle w:val="212"/>
        <w:spacing w:line="360" w:lineRule="auto"/>
        <w:ind w:firstLine="420"/>
        <w:rPr>
          <w:rFonts w:hint="eastAsia" w:ascii="仿宋" w:hAnsi="仿宋" w:eastAsia="仿宋" w:cs="仿宋"/>
          <w:b w:val="0"/>
          <w:bCs w:val="0"/>
          <w:sz w:val="21"/>
          <w:szCs w:val="21"/>
          <w:highlight w:val="yellow"/>
          <w:u w:val="single"/>
          <w:lang w:val="en-US" w:eastAsia="zh-CN"/>
        </w:rPr>
      </w:pPr>
      <w:r>
        <w:rPr>
          <w:rFonts w:hint="eastAsia" w:ascii="仿宋" w:hAnsi="仿宋" w:eastAsia="仿宋" w:cs="仿宋"/>
          <w:b w:val="0"/>
          <w:bCs w:val="0"/>
          <w:sz w:val="21"/>
          <w:szCs w:val="21"/>
        </w:rPr>
        <w:t>联系人：</w:t>
      </w:r>
      <w:r>
        <w:rPr>
          <w:rFonts w:hint="eastAsia" w:ascii="仿宋" w:hAnsi="仿宋" w:eastAsia="仿宋" w:cs="仿宋"/>
          <w:b w:val="0"/>
          <w:bCs w:val="0"/>
          <w:sz w:val="21"/>
          <w:szCs w:val="21"/>
          <w:u w:val="single"/>
          <w:lang w:val="en-US" w:eastAsia="zh-CN"/>
        </w:rPr>
        <w:t>马先生</w:t>
      </w:r>
    </w:p>
    <w:p w14:paraId="0150646B">
      <w:pPr>
        <w:pStyle w:val="212"/>
        <w:spacing w:line="360" w:lineRule="auto"/>
        <w:ind w:firstLine="420"/>
        <w:rPr>
          <w:rFonts w:hint="eastAsia" w:ascii="仿宋" w:hAnsi="仿宋" w:eastAsia="仿宋" w:cs="仿宋"/>
          <w:b w:val="0"/>
          <w:bCs w:val="0"/>
          <w:sz w:val="21"/>
          <w:szCs w:val="21"/>
          <w:highlight w:val="none"/>
          <w:u w:val="single"/>
          <w:lang w:val="en-US" w:eastAsia="zh-CN"/>
        </w:rPr>
      </w:pPr>
      <w:bookmarkStart w:id="16" w:name="_Toc28359097"/>
      <w:bookmarkStart w:id="17" w:name="_Toc35393638"/>
      <w:bookmarkStart w:id="18" w:name="_Toc35393807"/>
      <w:bookmarkStart w:id="19" w:name="_Toc28359020"/>
      <w:r>
        <w:rPr>
          <w:rFonts w:hint="eastAsia" w:ascii="仿宋" w:hAnsi="仿宋" w:eastAsia="仿宋" w:cs="仿宋"/>
          <w:b w:val="0"/>
          <w:bCs w:val="0"/>
          <w:sz w:val="21"/>
          <w:szCs w:val="21"/>
          <w:highlight w:val="none"/>
        </w:rPr>
        <w:t>联系电话：</w:t>
      </w:r>
      <w:r>
        <w:rPr>
          <w:rFonts w:hint="eastAsia" w:ascii="仿宋" w:hAnsi="仿宋" w:eastAsia="仿宋" w:cs="仿宋"/>
          <w:b w:val="0"/>
          <w:bCs w:val="0"/>
          <w:sz w:val="21"/>
          <w:szCs w:val="21"/>
          <w:highlight w:val="none"/>
          <w:u w:val="single"/>
        </w:rPr>
        <w:t>1</w:t>
      </w:r>
      <w:r>
        <w:rPr>
          <w:rFonts w:hint="eastAsia" w:ascii="仿宋" w:hAnsi="仿宋" w:eastAsia="仿宋" w:cs="仿宋"/>
          <w:b w:val="0"/>
          <w:bCs w:val="0"/>
          <w:sz w:val="21"/>
          <w:szCs w:val="21"/>
          <w:highlight w:val="none"/>
          <w:u w:val="single"/>
          <w:lang w:val="en-US" w:eastAsia="zh-CN"/>
        </w:rPr>
        <w:t xml:space="preserve">3921922323 </w:t>
      </w:r>
    </w:p>
    <w:p w14:paraId="7EA20929">
      <w:pPr>
        <w:pStyle w:val="212"/>
        <w:spacing w:line="360" w:lineRule="auto"/>
        <w:ind w:firstLine="420"/>
        <w:rPr>
          <w:rFonts w:hint="eastAsia" w:ascii="仿宋" w:hAnsi="仿宋" w:eastAsia="仿宋" w:cs="仿宋"/>
          <w:b w:val="0"/>
          <w:bCs w:val="0"/>
          <w:sz w:val="21"/>
          <w:szCs w:val="21"/>
        </w:rPr>
      </w:pPr>
      <w:r>
        <w:rPr>
          <w:rFonts w:hint="eastAsia" w:ascii="仿宋" w:hAnsi="仿宋" w:eastAsia="仿宋" w:cs="仿宋"/>
          <w:b w:val="0"/>
          <w:bCs w:val="0"/>
          <w:sz w:val="21"/>
          <w:szCs w:val="21"/>
        </w:rPr>
        <w:t>2.采购代理机构信息</w:t>
      </w:r>
      <w:bookmarkEnd w:id="16"/>
      <w:bookmarkEnd w:id="17"/>
      <w:bookmarkEnd w:id="18"/>
      <w:bookmarkEnd w:id="19"/>
    </w:p>
    <w:p w14:paraId="19A206AF">
      <w:pPr>
        <w:pStyle w:val="212"/>
        <w:spacing w:line="360" w:lineRule="auto"/>
        <w:ind w:firstLine="420"/>
        <w:rPr>
          <w:rFonts w:hint="eastAsia" w:ascii="仿宋" w:hAnsi="仿宋" w:eastAsia="仿宋" w:cs="仿宋"/>
          <w:b w:val="0"/>
          <w:bCs w:val="0"/>
          <w:sz w:val="21"/>
          <w:szCs w:val="21"/>
        </w:rPr>
      </w:pPr>
      <w:r>
        <w:rPr>
          <w:rFonts w:hint="eastAsia" w:ascii="仿宋" w:hAnsi="仿宋" w:eastAsia="仿宋" w:cs="仿宋"/>
          <w:b w:val="0"/>
          <w:bCs w:val="0"/>
          <w:sz w:val="21"/>
          <w:szCs w:val="21"/>
        </w:rPr>
        <w:t>名</w:t>
      </w:r>
      <w:r>
        <w:rPr>
          <w:rFonts w:hint="eastAsia" w:ascii="仿宋" w:hAnsi="仿宋" w:eastAsia="仿宋" w:cs="仿宋"/>
          <w:b w:val="0"/>
          <w:bCs w:val="0"/>
          <w:sz w:val="21"/>
          <w:szCs w:val="21"/>
          <w:lang w:val="en-US" w:eastAsia="zh-CN"/>
        </w:rPr>
        <w:t xml:space="preserve">    </w:t>
      </w:r>
      <w:r>
        <w:rPr>
          <w:rFonts w:hint="eastAsia" w:ascii="仿宋" w:hAnsi="仿宋" w:eastAsia="仿宋" w:cs="仿宋"/>
          <w:b w:val="0"/>
          <w:bCs w:val="0"/>
          <w:sz w:val="21"/>
          <w:szCs w:val="21"/>
        </w:rPr>
        <w:t>称：</w:t>
      </w:r>
      <w:r>
        <w:rPr>
          <w:rFonts w:hint="eastAsia" w:ascii="仿宋" w:hAnsi="仿宋" w:eastAsia="仿宋" w:cs="仿宋"/>
          <w:b w:val="0"/>
          <w:bCs w:val="0"/>
          <w:sz w:val="21"/>
          <w:szCs w:val="21"/>
          <w:u w:val="single"/>
          <w:lang w:val="en" w:eastAsia="zh-CN"/>
        </w:rPr>
        <w:t>扬州九域工程咨询有限公司</w:t>
      </w:r>
    </w:p>
    <w:p w14:paraId="1A113B47">
      <w:pPr>
        <w:pStyle w:val="212"/>
        <w:spacing w:line="360" w:lineRule="auto"/>
        <w:ind w:firstLine="420"/>
        <w:rPr>
          <w:rFonts w:hint="eastAsia" w:ascii="仿宋" w:hAnsi="仿宋" w:eastAsia="仿宋" w:cs="仿宋"/>
          <w:b w:val="0"/>
          <w:bCs w:val="0"/>
          <w:sz w:val="21"/>
          <w:szCs w:val="21"/>
          <w:u w:val="single"/>
        </w:rPr>
      </w:pPr>
      <w:r>
        <w:rPr>
          <w:rFonts w:hint="eastAsia" w:ascii="仿宋" w:hAnsi="仿宋" w:eastAsia="仿宋" w:cs="仿宋"/>
          <w:b w:val="0"/>
          <w:bCs w:val="0"/>
          <w:sz w:val="21"/>
          <w:szCs w:val="21"/>
        </w:rPr>
        <w:t>地　　址：</w:t>
      </w:r>
      <w:r>
        <w:rPr>
          <w:rFonts w:hint="eastAsia" w:ascii="仿宋" w:hAnsi="仿宋" w:eastAsia="仿宋" w:cs="仿宋"/>
          <w:b w:val="0"/>
          <w:bCs w:val="0"/>
          <w:sz w:val="21"/>
          <w:szCs w:val="21"/>
          <w:u w:val="single"/>
        </w:rPr>
        <w:t>高邮市城南新区中心大道66号高强大厦7楼702室</w:t>
      </w:r>
    </w:p>
    <w:p w14:paraId="47D7E503">
      <w:pPr>
        <w:pStyle w:val="212"/>
        <w:spacing w:line="360" w:lineRule="auto"/>
        <w:ind w:firstLine="420"/>
        <w:rPr>
          <w:rFonts w:hint="eastAsia" w:ascii="仿宋" w:hAnsi="仿宋" w:eastAsia="仿宋" w:cs="仿宋"/>
          <w:b w:val="0"/>
          <w:bCs w:val="0"/>
          <w:sz w:val="21"/>
          <w:szCs w:val="21"/>
          <w:u w:val="single"/>
          <w:lang w:val="en" w:eastAsia="zh-CN"/>
        </w:rPr>
      </w:pPr>
      <w:r>
        <w:rPr>
          <w:rFonts w:hint="eastAsia" w:ascii="仿宋" w:hAnsi="仿宋" w:eastAsia="仿宋" w:cs="仿宋"/>
          <w:b w:val="0"/>
          <w:bCs w:val="0"/>
          <w:sz w:val="21"/>
          <w:szCs w:val="21"/>
        </w:rPr>
        <w:t>联系电话：</w:t>
      </w:r>
      <w:r>
        <w:rPr>
          <w:rFonts w:hint="eastAsia" w:ascii="仿宋" w:hAnsi="仿宋" w:eastAsia="仿宋" w:cs="仿宋"/>
          <w:b w:val="0"/>
          <w:bCs w:val="0"/>
          <w:sz w:val="21"/>
          <w:szCs w:val="21"/>
          <w:u w:val="single"/>
          <w:lang w:val="en-US" w:eastAsia="zh-CN"/>
        </w:rPr>
        <w:t>13852172276</w:t>
      </w:r>
      <w:r>
        <w:rPr>
          <w:rFonts w:hint="eastAsia" w:ascii="仿宋" w:hAnsi="仿宋" w:eastAsia="仿宋" w:cs="仿宋"/>
          <w:b w:val="0"/>
          <w:bCs w:val="0"/>
          <w:sz w:val="21"/>
          <w:szCs w:val="21"/>
          <w:u w:val="single"/>
          <w:lang w:val="en" w:eastAsia="zh-CN"/>
        </w:rPr>
        <w:t>　</w:t>
      </w:r>
    </w:p>
    <w:p w14:paraId="46000C95">
      <w:pPr>
        <w:pStyle w:val="212"/>
        <w:spacing w:line="360" w:lineRule="auto"/>
        <w:ind w:firstLine="422"/>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九、</w:t>
      </w:r>
      <w:r>
        <w:rPr>
          <w:rFonts w:hint="eastAsia" w:ascii="仿宋" w:hAnsi="仿宋" w:eastAsia="仿宋" w:cs="仿宋"/>
          <w:b/>
          <w:color w:val="000000"/>
          <w:sz w:val="21"/>
          <w:szCs w:val="21"/>
          <w:highlight w:val="none"/>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45868A0B">
      <w:pPr>
        <w:pStyle w:val="198"/>
        <w:spacing w:before="0" w:after="0" w:line="360" w:lineRule="auto"/>
        <w:rPr>
          <w:rFonts w:hint="eastAsia" w:ascii="仿宋" w:hAnsi="仿宋" w:eastAsia="仿宋" w:cs="仿宋"/>
          <w:color w:val="000000"/>
          <w:sz w:val="21"/>
          <w:szCs w:val="21"/>
          <w:highlight w:val="none"/>
        </w:rPr>
      </w:pPr>
      <w:bookmarkStart w:id="20" w:name="_Toc27979"/>
      <w:bookmarkStart w:id="21" w:name="_Toc109304971"/>
      <w:r>
        <w:rPr>
          <w:rFonts w:hint="eastAsia" w:ascii="仿宋" w:hAnsi="仿宋" w:eastAsia="仿宋" w:cs="仿宋"/>
          <w:color w:val="000000"/>
          <w:sz w:val="21"/>
          <w:szCs w:val="21"/>
          <w:highlight w:val="none"/>
        </w:rPr>
        <w:t>十、其他</w:t>
      </w:r>
      <w:bookmarkEnd w:id="20"/>
      <w:bookmarkEnd w:id="21"/>
    </w:p>
    <w:p w14:paraId="09BAD039">
      <w:pPr>
        <w:spacing w:line="360" w:lineRule="auto"/>
        <w:ind w:firstLine="422"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5ADF4F23">
      <w:pPr>
        <w:spacing w:line="360" w:lineRule="auto"/>
        <w:ind w:firstLine="422" w:firstLineChars="20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2.供应商如确定参加磋商，可自行下载采购文件及有关资料，按照《操作手册》进行注册，领取CA和办理电子签章，并按《操作手册》要求制作、上传电子投标文件，技术支持联系方式：13813140731。</w:t>
      </w:r>
    </w:p>
    <w:p w14:paraId="50ECB3C5">
      <w:pPr>
        <w:widowControl/>
        <w:spacing w:line="360" w:lineRule="auto"/>
        <w:ind w:firstLine="422" w:firstLineChars="200"/>
        <w:jc w:val="lef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4804A328">
      <w:pPr>
        <w:widowControl/>
        <w:spacing w:line="360" w:lineRule="auto"/>
        <w:ind w:firstLine="422" w:firstLineChars="200"/>
        <w:jc w:val="lef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4.潜在供应商对采购文件项目需求部分的询问、质疑请向采购人提出，由采购人负责答复。</w:t>
      </w:r>
    </w:p>
    <w:p w14:paraId="36B3BEA9">
      <w:pPr>
        <w:spacing w:line="360" w:lineRule="auto"/>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5.</w:t>
      </w:r>
      <w:r>
        <w:rPr>
          <w:rFonts w:hint="eastAsia" w:ascii="仿宋" w:hAnsi="仿宋" w:eastAsia="仿宋" w:cs="仿宋"/>
          <w:color w:val="auto"/>
          <w:sz w:val="21"/>
          <w:szCs w:val="21"/>
          <w:highlight w:val="none"/>
        </w:rPr>
        <w:t>本次采购不收取保证金。</w:t>
      </w:r>
    </w:p>
    <w:p w14:paraId="684816F6">
      <w:pPr>
        <w:spacing w:line="360" w:lineRule="auto"/>
        <w:ind w:firstLine="420" w:firstLineChars="200"/>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6.</w:t>
      </w:r>
      <w:r>
        <w:rPr>
          <w:rFonts w:hint="eastAsia" w:ascii="仿宋" w:hAnsi="仿宋" w:eastAsia="仿宋" w:cs="仿宋"/>
          <w:bCs/>
          <w:color w:val="auto"/>
          <w:sz w:val="21"/>
          <w:szCs w:val="21"/>
          <w:highlight w:val="none"/>
        </w:rPr>
        <w:t>有关本次采购的事项若存在变动或修改，敬请及时关注“扬州市政府采购网”、”江苏省政府采购网”发布的信息。</w:t>
      </w:r>
    </w:p>
    <w:p w14:paraId="1D42F783">
      <w:pPr>
        <w:spacing w:line="360" w:lineRule="auto"/>
        <w:ind w:firstLine="422" w:firstLineChars="200"/>
        <w:rPr>
          <w:rFonts w:hint="eastAsia" w:ascii="仿宋" w:hAnsi="仿宋" w:eastAsia="仿宋" w:cs="仿宋"/>
          <w:b/>
          <w:i/>
          <w:iCs/>
          <w:sz w:val="21"/>
          <w:szCs w:val="21"/>
          <w:u w:val="single"/>
        </w:rPr>
      </w:pPr>
      <w:r>
        <w:rPr>
          <w:rFonts w:hint="eastAsia" w:ascii="仿宋" w:hAnsi="仿宋" w:eastAsia="仿宋" w:cs="仿宋"/>
          <w:b/>
          <w:i/>
          <w:iCs/>
          <w:color w:val="auto"/>
          <w:sz w:val="21"/>
          <w:szCs w:val="21"/>
          <w:highlight w:val="none"/>
          <w:u w:val="single"/>
        </w:rPr>
        <w:t>7.本项目采购文件中所有斜体下划线部分为实质性条款，如不满足，则为无效响应</w:t>
      </w:r>
      <w:r>
        <w:rPr>
          <w:rFonts w:hint="eastAsia" w:ascii="仿宋" w:hAnsi="仿宋" w:eastAsia="仿宋" w:cs="仿宋"/>
          <w:b/>
          <w:i/>
          <w:iCs/>
          <w:sz w:val="21"/>
          <w:szCs w:val="21"/>
          <w:u w:val="single"/>
        </w:rPr>
        <w:t>。</w:t>
      </w:r>
    </w:p>
    <w:p w14:paraId="4477A888">
      <w:pPr>
        <w:spacing w:line="360" w:lineRule="auto"/>
        <w:ind w:firstLine="420" w:firstLineChars="200"/>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8.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p>
    <w:p w14:paraId="3DE46ABF">
      <w:pPr>
        <w:spacing w:line="360" w:lineRule="auto"/>
        <w:ind w:firstLine="420" w:firstLineChars="200"/>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9.落实好政府采购履约资金扶持政策。中标/成交供应商可凭政府采购合同办理融资贷款，详见江苏政府采购网“政采贷”专栏。</w:t>
      </w:r>
    </w:p>
    <w:p w14:paraId="4D749306">
      <w:pPr>
        <w:spacing w:line="360" w:lineRule="auto"/>
        <w:ind w:firstLine="420" w:firstLineChars="200"/>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10.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p>
    <w:p w14:paraId="6E36E3A5">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lang w:val="en-US" w:eastAsia="zh-CN"/>
        </w:rPr>
        <w:t>11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w:t>
      </w:r>
      <w:r>
        <w:rPr>
          <w:rFonts w:hint="eastAsia" w:ascii="仿宋" w:hAnsi="仿宋" w:eastAsia="仿宋" w:cs="仿宋"/>
          <w:bCs/>
          <w:sz w:val="21"/>
          <w:szCs w:val="21"/>
        </w:rPr>
        <w:t>品。</w:t>
      </w:r>
    </w:p>
    <w:p w14:paraId="61399F6A">
      <w:pPr>
        <w:spacing w:line="360" w:lineRule="auto"/>
        <w:ind w:firstLine="420"/>
        <w:jc w:val="right"/>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高邮市公安局</w:t>
      </w:r>
    </w:p>
    <w:p w14:paraId="374368A5">
      <w:pPr>
        <w:spacing w:line="360" w:lineRule="auto"/>
        <w:ind w:firstLine="420"/>
        <w:jc w:val="right"/>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扬州九域工程咨询有限公司</w:t>
      </w:r>
    </w:p>
    <w:p w14:paraId="4BEF0968">
      <w:pPr>
        <w:spacing w:line="360" w:lineRule="auto"/>
        <w:ind w:firstLine="420"/>
        <w:jc w:val="right"/>
        <w:rPr>
          <w:rFonts w:hint="eastAsia" w:ascii="仿宋" w:hAnsi="仿宋" w:eastAsia="仿宋" w:cs="仿宋"/>
          <w:bCs/>
          <w:sz w:val="21"/>
          <w:szCs w:val="21"/>
          <w:lang w:val="en-US" w:eastAsia="zh-CN"/>
        </w:rPr>
      </w:pPr>
    </w:p>
    <w:bookmarkEnd w:id="0"/>
    <w:p w14:paraId="613B80DD">
      <w:pPr>
        <w:spacing w:line="360" w:lineRule="auto"/>
        <w:jc w:val="center"/>
        <w:rPr>
          <w:rFonts w:hint="eastAsia" w:ascii="仿宋" w:hAnsi="仿宋" w:eastAsia="仿宋" w:cs="仿宋"/>
          <w:b/>
          <w:bCs/>
          <w:sz w:val="32"/>
          <w:szCs w:val="32"/>
          <w:lang w:val="en-US" w:eastAsia="zh-CN" w:bidi="ar-SA"/>
        </w:rPr>
      </w:pPr>
      <w:bookmarkStart w:id="22" w:name="_Toc109304972"/>
    </w:p>
    <w:p w14:paraId="6AD41B41">
      <w:pPr>
        <w:spacing w:line="360" w:lineRule="auto"/>
        <w:jc w:val="center"/>
        <w:rPr>
          <w:rFonts w:hint="eastAsia" w:ascii="仿宋" w:hAnsi="仿宋" w:eastAsia="仿宋" w:cs="仿宋"/>
          <w:b/>
          <w:bCs/>
          <w:sz w:val="32"/>
          <w:szCs w:val="32"/>
          <w:lang w:val="en-US" w:eastAsia="zh-CN" w:bidi="ar-SA"/>
        </w:rPr>
      </w:pPr>
    </w:p>
    <w:p w14:paraId="51AE6526">
      <w:pPr>
        <w:spacing w:line="360" w:lineRule="auto"/>
        <w:jc w:val="center"/>
        <w:rPr>
          <w:rFonts w:hint="eastAsia" w:ascii="仿宋" w:hAnsi="仿宋" w:eastAsia="仿宋" w:cs="仿宋"/>
          <w:b/>
          <w:bCs/>
          <w:sz w:val="32"/>
          <w:szCs w:val="32"/>
          <w:lang w:val="en-US" w:eastAsia="zh-CN" w:bidi="ar-SA"/>
        </w:rPr>
      </w:pPr>
    </w:p>
    <w:p w14:paraId="04CB8059">
      <w:pPr>
        <w:spacing w:line="360" w:lineRule="auto"/>
        <w:jc w:val="center"/>
        <w:rPr>
          <w:rFonts w:hint="eastAsia" w:ascii="仿宋" w:hAnsi="仿宋" w:eastAsia="仿宋" w:cs="仿宋"/>
          <w:b/>
          <w:bCs/>
          <w:sz w:val="32"/>
          <w:szCs w:val="32"/>
          <w:lang w:val="en-US" w:eastAsia="zh-CN" w:bidi="ar-SA"/>
        </w:rPr>
      </w:pPr>
    </w:p>
    <w:p w14:paraId="65A53AC1">
      <w:pPr>
        <w:spacing w:line="360" w:lineRule="auto"/>
        <w:jc w:val="center"/>
        <w:rPr>
          <w:rFonts w:hint="eastAsia" w:ascii="仿宋" w:hAnsi="仿宋" w:eastAsia="仿宋" w:cs="仿宋"/>
          <w:b/>
          <w:bCs/>
          <w:sz w:val="32"/>
          <w:szCs w:val="32"/>
          <w:lang w:val="en-US" w:eastAsia="zh-CN" w:bidi="ar-SA"/>
        </w:rPr>
      </w:pPr>
    </w:p>
    <w:p w14:paraId="4E330FD5">
      <w:pPr>
        <w:spacing w:line="360" w:lineRule="auto"/>
        <w:jc w:val="center"/>
        <w:rPr>
          <w:rFonts w:hint="eastAsia" w:ascii="仿宋" w:hAnsi="仿宋" w:eastAsia="仿宋" w:cs="仿宋"/>
          <w:b/>
          <w:bCs/>
          <w:sz w:val="32"/>
          <w:szCs w:val="32"/>
          <w:lang w:val="en-US" w:eastAsia="zh-CN" w:bidi="ar-SA"/>
        </w:rPr>
      </w:pPr>
    </w:p>
    <w:p w14:paraId="3A0FCB3B">
      <w:pPr>
        <w:spacing w:line="360" w:lineRule="auto"/>
        <w:jc w:val="center"/>
        <w:rPr>
          <w:rFonts w:hint="eastAsia" w:ascii="仿宋" w:hAnsi="仿宋" w:eastAsia="仿宋" w:cs="仿宋"/>
          <w:b/>
          <w:bCs/>
          <w:sz w:val="32"/>
          <w:szCs w:val="32"/>
          <w:lang w:val="en-US" w:eastAsia="zh-CN" w:bidi="ar-SA"/>
        </w:rPr>
      </w:pPr>
    </w:p>
    <w:p w14:paraId="2BE54039">
      <w:pPr>
        <w:spacing w:line="360" w:lineRule="auto"/>
        <w:jc w:val="center"/>
        <w:rPr>
          <w:rFonts w:hint="eastAsia" w:ascii="仿宋" w:hAnsi="仿宋" w:eastAsia="仿宋" w:cs="仿宋"/>
          <w:color w:val="000000"/>
        </w:rPr>
      </w:pPr>
      <w:r>
        <w:rPr>
          <w:rFonts w:hint="eastAsia" w:ascii="仿宋" w:hAnsi="仿宋" w:eastAsia="仿宋" w:cs="仿宋"/>
          <w:b/>
          <w:bCs/>
          <w:sz w:val="32"/>
          <w:szCs w:val="32"/>
          <w:lang w:val="en-US" w:eastAsia="zh-CN" w:bidi="ar-SA"/>
        </w:rPr>
        <w:br w:type="page" w:clear="all"/>
      </w:r>
      <w:r>
        <w:rPr>
          <w:rFonts w:hint="eastAsia" w:ascii="仿宋" w:hAnsi="仿宋" w:eastAsia="仿宋" w:cs="仿宋"/>
          <w:b/>
          <w:bCs/>
          <w:sz w:val="32"/>
          <w:szCs w:val="32"/>
          <w:lang w:val="en-US" w:eastAsia="zh-CN" w:bidi="ar-SA"/>
        </w:rPr>
        <w:t>第二章 磋商须知</w:t>
      </w:r>
      <w:bookmarkEnd w:id="22"/>
    </w:p>
    <w:p w14:paraId="19AD0258">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1、采购方式</w:t>
      </w:r>
    </w:p>
    <w:p w14:paraId="798A5675">
      <w:pPr>
        <w:spacing w:line="360" w:lineRule="auto"/>
        <w:ind w:firstLine="420"/>
        <w:rPr>
          <w:rFonts w:hint="eastAsia" w:ascii="仿宋" w:hAnsi="仿宋" w:eastAsia="仿宋" w:cs="仿宋"/>
          <w:color w:val="000000"/>
          <w:sz w:val="21"/>
          <w:szCs w:val="21"/>
        </w:rPr>
      </w:pPr>
      <w:r>
        <w:rPr>
          <w:rFonts w:hint="eastAsia" w:ascii="仿宋" w:hAnsi="仿宋" w:eastAsia="仿宋" w:cs="仿宋"/>
          <w:sz w:val="21"/>
          <w:szCs w:val="21"/>
        </w:rPr>
        <w:t>1.1本次采购采取竞争性磋商方式，本</w:t>
      </w:r>
      <w:r>
        <w:rPr>
          <w:rFonts w:hint="eastAsia" w:ascii="仿宋" w:hAnsi="仿宋" w:eastAsia="仿宋" w:cs="仿宋"/>
          <w:color w:val="000000"/>
          <w:sz w:val="21"/>
          <w:szCs w:val="21"/>
        </w:rPr>
        <w:t>采购文件仅适用于</w:t>
      </w:r>
      <w:r>
        <w:rPr>
          <w:rFonts w:hint="eastAsia" w:ascii="仿宋" w:hAnsi="仿宋" w:eastAsia="仿宋" w:cs="仿宋"/>
          <w:color w:val="000000"/>
          <w:sz w:val="21"/>
          <w:szCs w:val="21"/>
          <w:lang w:eastAsia="zh-CN"/>
        </w:rPr>
        <w:t>JSZC-321084-JYZX-C2025-0023</w:t>
      </w:r>
      <w:r>
        <w:rPr>
          <w:rFonts w:hint="eastAsia" w:ascii="仿宋" w:hAnsi="仿宋" w:eastAsia="仿宋" w:cs="仿宋"/>
          <w:color w:val="000000"/>
          <w:sz w:val="21"/>
          <w:szCs w:val="21"/>
        </w:rPr>
        <w:t>号项目。</w:t>
      </w:r>
    </w:p>
    <w:p w14:paraId="112A2195">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2、供应商</w:t>
      </w:r>
    </w:p>
    <w:p w14:paraId="6000F23F">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2.1参加竞争性磋商的供应商以下简称“供应商”，是指参加磋商并符合采购文件规定资格条件的法人、其他组织或者自然人。</w:t>
      </w:r>
    </w:p>
    <w:p w14:paraId="4B74DCF2">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2.2合格的供应商</w:t>
      </w:r>
    </w:p>
    <w:p w14:paraId="1C2EADB1">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2.2.1满足采购公告中供应商的资格条件要求的规定。</w:t>
      </w:r>
    </w:p>
    <w:p w14:paraId="3C7BFC0B">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2.2.2满足本文件实质性条款的规定。</w:t>
      </w:r>
    </w:p>
    <w:p w14:paraId="448E9E2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3、适用法律</w:t>
      </w:r>
    </w:p>
    <w:p w14:paraId="790614ED">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3.1本次采购及由此产生的合同受中华人民共和国有关的法律法规制约和保护。</w:t>
      </w:r>
    </w:p>
    <w:p w14:paraId="10B7F419">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4、参加磋商费用</w:t>
      </w:r>
    </w:p>
    <w:p w14:paraId="6A20D9EB">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4.1供应商应自行承担所有与参加磋商有关的费用，无论磋商过程中的做法和结果如何，（代理公司）(以下简称代理机构)在任何情况下均无义务和责任承担这些费用。</w:t>
      </w:r>
    </w:p>
    <w:p w14:paraId="01211767">
      <w:pPr>
        <w:adjustRightInd w:val="0"/>
        <w:spacing w:line="360" w:lineRule="auto"/>
        <w:ind w:firstLine="420" w:firstLineChars="200"/>
        <w:rPr>
          <w:rFonts w:hint="eastAsia" w:ascii="仿宋" w:hAnsi="仿宋" w:eastAsia="仿宋" w:cs="仿宋"/>
          <w:color w:val="000000"/>
          <w:sz w:val="21"/>
          <w:szCs w:val="21"/>
        </w:rPr>
      </w:pPr>
      <w:r>
        <w:rPr>
          <w:rFonts w:hint="eastAsia" w:ascii="仿宋" w:hAnsi="仿宋" w:eastAsia="仿宋" w:cs="仿宋"/>
          <w:sz w:val="21"/>
          <w:szCs w:val="21"/>
        </w:rPr>
        <w:t>4.2</w:t>
      </w:r>
      <w:bookmarkStart w:id="23" w:name="_Hlk115095815"/>
      <w:r>
        <w:rPr>
          <w:rFonts w:hint="eastAsia" w:ascii="仿宋" w:hAnsi="仿宋" w:eastAsia="仿宋" w:cs="仿宋"/>
          <w:b w:val="0"/>
          <w:bCs w:val="0"/>
          <w:color w:val="auto"/>
          <w:highlight w:val="none"/>
        </w:rPr>
        <w:t>本次采购由成交单位在领取成交通知书前按照国家计委印发的《招标代理服务收费管理暂行办法》(计价格【2002】1980号文)服务类的标准的一次性支付给招标代理机构代理服务费。</w:t>
      </w:r>
    </w:p>
    <w:p w14:paraId="2BD943B3">
      <w:pPr>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rPr>
        <w:t>（1）代理服务费以人民币支付；</w:t>
      </w:r>
    </w:p>
    <w:p w14:paraId="6ECB118B">
      <w:pPr>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rPr>
        <w:t>（2）代理服务费一次性以电汇、转账等非现金形式支付；</w:t>
      </w:r>
    </w:p>
    <w:p w14:paraId="2E943E09">
      <w:pPr>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rPr>
        <w:t>（3）招标代理服务费不在磋商报价中单列，包含在磋商总价中，由成交单位支付给代理机构。</w:t>
      </w:r>
    </w:p>
    <w:p w14:paraId="5E166B3C">
      <w:pPr>
        <w:spacing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4.3专家评审费按扬财购【2020】40号文《关于进一步规范扬州市政府采购专家评审费标准的通知》执行。</w:t>
      </w:r>
    </w:p>
    <w:bookmarkEnd w:id="23"/>
    <w:p w14:paraId="5F581539">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5、采购文件的约束力</w:t>
      </w:r>
    </w:p>
    <w:p w14:paraId="179D9C26">
      <w:pPr>
        <w:spacing w:line="360" w:lineRule="auto"/>
        <w:ind w:firstLine="420"/>
        <w:rPr>
          <w:rFonts w:hint="eastAsia" w:ascii="仿宋" w:hAnsi="仿宋" w:eastAsia="仿宋" w:cs="仿宋"/>
          <w:color w:val="FF0000"/>
          <w:sz w:val="21"/>
          <w:szCs w:val="21"/>
        </w:rPr>
      </w:pPr>
      <w:r>
        <w:rPr>
          <w:rFonts w:hint="eastAsia" w:ascii="仿宋" w:hAnsi="仿宋" w:eastAsia="仿宋" w:cs="仿宋"/>
          <w:sz w:val="21"/>
          <w:szCs w:val="21"/>
        </w:rPr>
        <w:t>5.1供应商一旦参加本项目采购活动，即被认为接受了本采购文件的规定和约束。</w:t>
      </w:r>
    </w:p>
    <w:p w14:paraId="009DC4D8">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6、采购文件构成</w:t>
      </w:r>
    </w:p>
    <w:p w14:paraId="41EEB521">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6.1采购文件有以下部分组成：</w:t>
      </w:r>
    </w:p>
    <w:p w14:paraId="5A3AED1A">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（1）采购公告</w:t>
      </w:r>
    </w:p>
    <w:p w14:paraId="70AF66DB">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（2）磋商须知</w:t>
      </w:r>
      <w:r>
        <w:rPr>
          <w:rFonts w:hint="eastAsia" w:ascii="仿宋" w:hAnsi="仿宋" w:eastAsia="仿宋" w:cs="仿宋"/>
          <w:sz w:val="21"/>
          <w:szCs w:val="21"/>
        </w:rPr>
        <w:tab/>
      </w:r>
    </w:p>
    <w:p w14:paraId="107B030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（3）合同条款及格式</w:t>
      </w:r>
    </w:p>
    <w:p w14:paraId="5293666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（4）项目需求</w:t>
      </w:r>
    </w:p>
    <w:p w14:paraId="37AA0660">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（5）评审方法与评审标准</w:t>
      </w:r>
    </w:p>
    <w:p w14:paraId="0054914A">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（6）竞争性磋商响应文件格式</w:t>
      </w:r>
    </w:p>
    <w:p w14:paraId="48AEB1C4">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请仔细检查采购文件是否齐全，如有缺漏请立即与代理机构联系解决。</w:t>
      </w:r>
    </w:p>
    <w:p w14:paraId="0BC9983A">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6.2采购的最小单位是包。采购服务数量及技术要求中未分包的，供应商对要求提供的服务不得部分响应；采购服务数量及技术要求中已经分包的，应当以包为单位响应。</w:t>
      </w:r>
    </w:p>
    <w:p w14:paraId="7F175353">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6.3采购文件如果要求供应商提交备选响应方案的，供应商可以提交备选方案；否则，备选方案将被拒绝。</w:t>
      </w:r>
    </w:p>
    <w:p w14:paraId="6328AC08">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46475F6D">
      <w:pPr>
        <w:spacing w:line="360" w:lineRule="auto"/>
        <w:ind w:firstLine="420"/>
        <w:rPr>
          <w:rFonts w:hint="eastAsia" w:ascii="仿宋" w:hAnsi="仿宋" w:eastAsia="仿宋" w:cs="仿宋"/>
          <w:b/>
          <w:bCs/>
          <w:sz w:val="21"/>
          <w:szCs w:val="21"/>
        </w:rPr>
      </w:pPr>
      <w:r>
        <w:rPr>
          <w:rFonts w:hint="eastAsia" w:ascii="仿宋" w:hAnsi="仿宋" w:eastAsia="仿宋" w:cs="仿宋"/>
          <w:sz w:val="21"/>
          <w:szCs w:val="21"/>
        </w:rPr>
        <w:t>7</w:t>
      </w:r>
      <w:r>
        <w:rPr>
          <w:rFonts w:hint="eastAsia" w:ascii="仿宋" w:hAnsi="仿宋" w:eastAsia="仿宋" w:cs="仿宋"/>
          <w:b/>
          <w:bCs/>
          <w:sz w:val="21"/>
          <w:szCs w:val="21"/>
        </w:rPr>
        <w:t>、</w:t>
      </w:r>
      <w:r>
        <w:rPr>
          <w:rFonts w:hint="eastAsia" w:ascii="仿宋" w:hAnsi="仿宋" w:eastAsia="仿宋" w:cs="仿宋"/>
          <w:sz w:val="21"/>
          <w:szCs w:val="21"/>
        </w:rPr>
        <w:t>采购文件的澄清</w:t>
      </w:r>
    </w:p>
    <w:p w14:paraId="5390853C">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7.1任何要求对采购文件进行澄清的供应商，应在提交首次响应文件截止时间至少5日前按采购公告中的通讯地址，以书面形式通知代理机构。</w:t>
      </w:r>
    </w:p>
    <w:p w14:paraId="388E83DF">
      <w:pPr>
        <w:spacing w:line="360" w:lineRule="auto"/>
        <w:ind w:firstLine="420"/>
        <w:rPr>
          <w:rFonts w:hint="eastAsia" w:ascii="仿宋" w:hAnsi="仿宋" w:eastAsia="仿宋" w:cs="仿宋"/>
          <w:b/>
          <w:bCs/>
          <w:sz w:val="21"/>
          <w:szCs w:val="21"/>
        </w:rPr>
      </w:pPr>
      <w:r>
        <w:rPr>
          <w:rFonts w:hint="eastAsia" w:ascii="仿宋" w:hAnsi="仿宋" w:eastAsia="仿宋" w:cs="仿宋"/>
          <w:sz w:val="21"/>
          <w:szCs w:val="21"/>
        </w:rPr>
        <w:t>8</w:t>
      </w:r>
      <w:r>
        <w:rPr>
          <w:rFonts w:hint="eastAsia" w:ascii="仿宋" w:hAnsi="仿宋" w:eastAsia="仿宋" w:cs="仿宋"/>
          <w:b/>
          <w:bCs/>
          <w:sz w:val="21"/>
          <w:szCs w:val="21"/>
        </w:rPr>
        <w:t>、</w:t>
      </w:r>
      <w:r>
        <w:rPr>
          <w:rFonts w:hint="eastAsia" w:ascii="仿宋" w:hAnsi="仿宋" w:eastAsia="仿宋" w:cs="仿宋"/>
          <w:sz w:val="21"/>
          <w:szCs w:val="21"/>
        </w:rPr>
        <w:t>采购文件的修改</w:t>
      </w:r>
    </w:p>
    <w:p w14:paraId="5A32D278">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08B8FEB5">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8.2采购文件的修改将在“扬州市政府采购网”、“江苏省政府采购网”公布，补充文件将作为采购文件的组成部分，并对供应商具有约束力。</w:t>
      </w:r>
    </w:p>
    <w:p w14:paraId="2AC0348E">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9、采购文件的语言、度量衡单位、货币</w:t>
      </w:r>
    </w:p>
    <w:p w14:paraId="131C7D41">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9.1供应商提交的响应文件以及供应商与代理机构就有关磋商的所有来往通知、函件和文件均应使用简体中文。</w:t>
      </w:r>
    </w:p>
    <w:p w14:paraId="11949B17">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9.2除技术性能另有规定外，采购文件所使用的度量衡单位，均须采用国家法定计量单位。</w:t>
      </w:r>
    </w:p>
    <w:p w14:paraId="1D483733">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9.3采购文件中的服务单价和总价无特殊规定的采用人民币报价，以元为单位标注。采购文件中另有规定的按规定执行。</w:t>
      </w:r>
    </w:p>
    <w:p w14:paraId="04262838">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10、响应文件构成</w:t>
      </w:r>
    </w:p>
    <w:p w14:paraId="069E65F1">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10.1磋商文件由以下部分组成</w:t>
      </w:r>
    </w:p>
    <w:p w14:paraId="595348C6">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（1）资格审查响应对照表</w:t>
      </w:r>
    </w:p>
    <w:p w14:paraId="43F80921">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（2）符合性审查响应对照表</w:t>
      </w:r>
    </w:p>
    <w:p w14:paraId="126B1AA8">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（3）非实质性响应对照表</w:t>
      </w:r>
    </w:p>
    <w:p w14:paraId="3FB66B0F">
      <w:pPr>
        <w:spacing w:line="360" w:lineRule="auto"/>
        <w:ind w:firstLine="420"/>
        <w:rPr>
          <w:rFonts w:hint="eastAsia" w:ascii="仿宋" w:hAnsi="仿宋" w:eastAsia="仿宋" w:cs="仿宋"/>
          <w:color w:val="auto"/>
          <w:sz w:val="21"/>
          <w:szCs w:val="21"/>
          <w:lang w:eastAsia="zh-CN"/>
        </w:rPr>
      </w:pPr>
      <w:r>
        <w:rPr>
          <w:rFonts w:hint="eastAsia" w:ascii="仿宋" w:hAnsi="仿宋" w:eastAsia="仿宋" w:cs="仿宋"/>
          <w:color w:val="auto"/>
          <w:sz w:val="21"/>
          <w:szCs w:val="21"/>
        </w:rPr>
        <w:t>（4）磋商响应报价表</w:t>
      </w:r>
    </w:p>
    <w:p w14:paraId="17C2B5D1">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（5）分项报价表</w:t>
      </w:r>
    </w:p>
    <w:p w14:paraId="091119AE">
      <w:pPr>
        <w:spacing w:line="360" w:lineRule="auto"/>
        <w:ind w:firstLine="420"/>
        <w:rPr>
          <w:rFonts w:hint="eastAsia" w:ascii="仿宋" w:hAnsi="仿宋" w:eastAsia="仿宋" w:cs="仿宋"/>
          <w:color w:val="auto"/>
          <w:sz w:val="21"/>
          <w:szCs w:val="21"/>
          <w:lang w:eastAsia="zh-CN"/>
        </w:rPr>
      </w:pPr>
      <w:r>
        <w:rPr>
          <w:rFonts w:hint="eastAsia" w:ascii="仿宋" w:hAnsi="仿宋" w:eastAsia="仿宋" w:cs="仿宋"/>
          <w:color w:val="auto"/>
          <w:sz w:val="21"/>
          <w:szCs w:val="21"/>
        </w:rPr>
        <w:t>（6）技术参数响应及偏离表</w:t>
      </w:r>
    </w:p>
    <w:p w14:paraId="356675B5">
      <w:pPr>
        <w:spacing w:line="360" w:lineRule="auto"/>
        <w:ind w:firstLine="420"/>
        <w:rPr>
          <w:rFonts w:hint="eastAsia" w:ascii="仿宋" w:hAnsi="仿宋" w:eastAsia="仿宋" w:cs="仿宋"/>
          <w:color w:val="auto"/>
          <w:sz w:val="21"/>
          <w:szCs w:val="21"/>
          <w:lang w:eastAsia="zh-CN"/>
        </w:rPr>
      </w:pPr>
      <w:r>
        <w:rPr>
          <w:rFonts w:hint="eastAsia" w:ascii="仿宋" w:hAnsi="仿宋" w:eastAsia="仿宋" w:cs="仿宋"/>
          <w:color w:val="auto"/>
          <w:sz w:val="21"/>
          <w:szCs w:val="21"/>
        </w:rPr>
        <w:t>（7）商务条款响应及偏离表</w:t>
      </w:r>
    </w:p>
    <w:p w14:paraId="02AC7F02">
      <w:pPr>
        <w:spacing w:line="360" w:lineRule="auto"/>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（8）设计方案（如有）：如未成功上传“设计投标文件”，投标单位需将电子投标光盘（设计图纸光盘密封并注明供应商单位名称）递交至代理机构（地址），招标代理单位将派工作人员在</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日</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时间内接收电子投标光盘。将电子投标光盘递交至招标代理工作人员处，逾期不予接收。</w:t>
      </w:r>
    </w:p>
    <w:p w14:paraId="38E817CA">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（9）其他（供应商认为有必要提供的声明和文件，如有自拟并自行添加。设计方案）</w:t>
      </w:r>
    </w:p>
    <w:p w14:paraId="67A3EE99">
      <w:pPr>
        <w:spacing w:line="360" w:lineRule="auto"/>
        <w:ind w:firstLine="422"/>
        <w:rPr>
          <w:rFonts w:hint="eastAsia" w:ascii="仿宋" w:hAnsi="仿宋" w:eastAsia="仿宋" w:cs="仿宋"/>
          <w:b/>
          <w:bCs/>
          <w:color w:val="auto"/>
          <w:sz w:val="21"/>
          <w:szCs w:val="21"/>
        </w:rPr>
      </w:pPr>
      <w:r>
        <w:rPr>
          <w:rFonts w:hint="eastAsia" w:ascii="仿宋" w:hAnsi="仿宋" w:eastAsia="仿宋" w:cs="仿宋"/>
          <w:b/>
          <w:bCs/>
          <w:color w:val="auto"/>
          <w:sz w:val="21"/>
          <w:szCs w:val="21"/>
        </w:rPr>
        <w:t>10.2供应商应当根据采购文件要求编制响应文件，响应文件应对采购文件提出的要求和条件作出响应，并在相应的响应文件中逐条标明满足与否。</w:t>
      </w:r>
    </w:p>
    <w:p w14:paraId="6B7D98F6">
      <w:pPr>
        <w:spacing w:line="360" w:lineRule="auto"/>
        <w:ind w:firstLine="420"/>
        <w:rPr>
          <w:rFonts w:hint="eastAsia" w:ascii="仿宋" w:hAnsi="仿宋" w:eastAsia="仿宋" w:cs="仿宋"/>
          <w:b/>
          <w:bCs/>
          <w:color w:val="auto"/>
          <w:sz w:val="21"/>
          <w:szCs w:val="21"/>
        </w:rPr>
      </w:pPr>
      <w:r>
        <w:rPr>
          <w:rFonts w:hint="eastAsia" w:ascii="仿宋" w:hAnsi="仿宋" w:eastAsia="仿宋" w:cs="仿宋"/>
          <w:color w:val="auto"/>
          <w:sz w:val="21"/>
          <w:szCs w:val="21"/>
        </w:rPr>
        <w:t>11、证明供应商资格及符合采购文件规定的文件</w:t>
      </w:r>
    </w:p>
    <w:p w14:paraId="66F74D9A">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11.1供应商应按要求提交资格证明文件及符合采购文件规定的文件。</w:t>
      </w:r>
    </w:p>
    <w:p w14:paraId="02CE3DE4">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11.2供应商应提交证明其有资格参加磋商和成交后有能力独立履行合同的文件。</w:t>
      </w:r>
    </w:p>
    <w:p w14:paraId="34131DB1">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11.3供应商除必须具有履行合同所需提供的产品或服务的能力外，还必须具备相应的财务、技术方面的能力。</w:t>
      </w:r>
    </w:p>
    <w:p w14:paraId="330E7419">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11.4供应商应提交根据合同要求提供的证明服务质量合格以及符合采购文件规定的证明文件。</w:t>
      </w:r>
    </w:p>
    <w:p w14:paraId="26FD8D9A">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11.5证明供应商所提供服务与采购文件的要求相一致的文件可以是手册、图纸、文字资料和数据。</w:t>
      </w:r>
    </w:p>
    <w:p w14:paraId="7986DC15">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12、磋商响应报价表</w:t>
      </w:r>
    </w:p>
    <w:p w14:paraId="4B7A245D">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12.1供应商应按照采购文件规定格式填报磋商响应报价表，每项服务只允许有一个报价，任何有选择的报价将不予接受。</w:t>
      </w:r>
    </w:p>
    <w:p w14:paraId="11880C5B">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12.2标的物</w:t>
      </w:r>
    </w:p>
    <w:p w14:paraId="646B050A">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采购人需求的服务供应、安装，调试及有关技术服务等。</w:t>
      </w:r>
    </w:p>
    <w:p w14:paraId="707E122B">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12.3其它费用处理</w:t>
      </w:r>
    </w:p>
    <w:p w14:paraId="105DEFE4">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采购文件未列明，而供应商认为必需的费用也需列入报价。</w:t>
      </w:r>
    </w:p>
    <w:p w14:paraId="20DA4683">
      <w:pPr>
        <w:spacing w:line="360" w:lineRule="auto"/>
        <w:ind w:firstLine="422"/>
        <w:rPr>
          <w:rFonts w:hint="eastAsia" w:ascii="仿宋" w:hAnsi="仿宋" w:eastAsia="仿宋" w:cs="仿宋"/>
          <w:b/>
          <w:bCs/>
          <w:color w:val="auto"/>
          <w:sz w:val="21"/>
          <w:szCs w:val="21"/>
        </w:rPr>
      </w:pPr>
      <w:r>
        <w:rPr>
          <w:rFonts w:hint="eastAsia" w:ascii="仿宋" w:hAnsi="仿宋" w:eastAsia="仿宋" w:cs="仿宋"/>
          <w:b/>
          <w:bCs/>
          <w:color w:val="auto"/>
          <w:sz w:val="21"/>
          <w:szCs w:val="21"/>
        </w:rPr>
        <w:t>13、技术参数响应及偏离表、商务条款响应及偏离表及磋商服务说明</w:t>
      </w:r>
    </w:p>
    <w:p w14:paraId="5263AFC0">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13.1对采购文件中的技术与商务条款要求逐项作出响应或偏离，并说明原因；</w:t>
      </w:r>
    </w:p>
    <w:p w14:paraId="782D0A32">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13.2提供参加本项目类似案例简介；</w:t>
      </w:r>
    </w:p>
    <w:p w14:paraId="34A531A7">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13.3详细阐述所投服务的主要组成部分、功能设计、实现思路及关键技术；</w:t>
      </w:r>
    </w:p>
    <w:p w14:paraId="5C88D37F">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13.4供应商认为需要的其他技术文件或说明。</w:t>
      </w:r>
    </w:p>
    <w:p w14:paraId="25C2F8F7">
      <w:pPr>
        <w:spacing w:line="360" w:lineRule="auto"/>
        <w:ind w:firstLine="422"/>
        <w:rPr>
          <w:rFonts w:hint="eastAsia" w:ascii="仿宋" w:hAnsi="仿宋" w:eastAsia="仿宋" w:cs="仿宋"/>
          <w:b/>
          <w:bCs/>
          <w:color w:val="auto"/>
          <w:sz w:val="21"/>
          <w:szCs w:val="21"/>
        </w:rPr>
      </w:pPr>
      <w:r>
        <w:rPr>
          <w:rFonts w:hint="eastAsia" w:ascii="仿宋" w:hAnsi="仿宋" w:eastAsia="仿宋" w:cs="仿宋"/>
          <w:b/>
          <w:bCs/>
          <w:color w:val="auto"/>
          <w:sz w:val="21"/>
          <w:szCs w:val="21"/>
        </w:rPr>
        <w:t>14、服务承诺及售后服务机构、人员的情况介绍</w:t>
      </w:r>
    </w:p>
    <w:p w14:paraId="4D604C3C">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14.1供应商的服务承诺应按不低于采购文件中商务要求的标准。</w:t>
      </w:r>
    </w:p>
    <w:p w14:paraId="5C8974F5">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14.2提供供应商有关售后服务的管理制度、售后服务机构的分布情况、售后服务人员的数量、素质、技术水平及售后服务的反应能力。</w:t>
      </w:r>
    </w:p>
    <w:p w14:paraId="121C25BE">
      <w:pPr>
        <w:spacing w:line="360" w:lineRule="auto"/>
        <w:ind w:firstLine="420"/>
        <w:rPr>
          <w:rFonts w:hint="eastAsia" w:ascii="仿宋" w:hAnsi="仿宋" w:eastAsia="仿宋" w:cs="仿宋"/>
          <w:b/>
          <w:bCs/>
          <w:color w:val="auto"/>
          <w:sz w:val="21"/>
          <w:szCs w:val="21"/>
        </w:rPr>
      </w:pPr>
      <w:r>
        <w:rPr>
          <w:rFonts w:hint="eastAsia" w:ascii="仿宋" w:hAnsi="仿宋" w:eastAsia="仿宋" w:cs="仿宋"/>
          <w:color w:val="auto"/>
          <w:sz w:val="21"/>
          <w:szCs w:val="21"/>
        </w:rPr>
        <w:t>15、磋商响应函</w:t>
      </w:r>
    </w:p>
    <w:p w14:paraId="674C8874">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15.1供应商应按照扬州市政府采购交易管理系统提供的格式完整、正确填写磋商响应函。</w:t>
      </w:r>
    </w:p>
    <w:p w14:paraId="79AEBC0F">
      <w:pPr>
        <w:spacing w:line="360" w:lineRule="auto"/>
        <w:ind w:firstLine="420"/>
        <w:rPr>
          <w:rFonts w:hint="eastAsia" w:ascii="仿宋" w:hAnsi="仿宋" w:eastAsia="仿宋" w:cs="仿宋"/>
          <w:b/>
          <w:bCs/>
          <w:color w:val="auto"/>
          <w:sz w:val="21"/>
          <w:szCs w:val="21"/>
        </w:rPr>
      </w:pPr>
      <w:r>
        <w:rPr>
          <w:rFonts w:hint="eastAsia" w:ascii="仿宋" w:hAnsi="仿宋" w:eastAsia="仿宋" w:cs="仿宋"/>
          <w:color w:val="auto"/>
          <w:sz w:val="21"/>
          <w:szCs w:val="21"/>
        </w:rPr>
        <w:t>16、磋商响应有效期</w:t>
      </w:r>
    </w:p>
    <w:p w14:paraId="217D5D23">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16.1磋商响应有效期为代理机构规定的响应文件接收截止时间后</w:t>
      </w:r>
      <w:r>
        <w:rPr>
          <w:rFonts w:hint="eastAsia" w:ascii="仿宋" w:hAnsi="仿宋" w:eastAsia="仿宋" w:cs="仿宋"/>
          <w:b/>
          <w:bCs/>
          <w:color w:val="auto"/>
          <w:sz w:val="21"/>
          <w:szCs w:val="21"/>
          <w:u w:val="single"/>
        </w:rPr>
        <w:t>六十（60）天</w:t>
      </w:r>
      <w:r>
        <w:rPr>
          <w:rFonts w:hint="eastAsia" w:ascii="仿宋" w:hAnsi="仿宋" w:eastAsia="仿宋" w:cs="仿宋"/>
          <w:color w:val="auto"/>
          <w:sz w:val="21"/>
          <w:szCs w:val="21"/>
        </w:rPr>
        <w:t>。磋商响应有效期比规定短的将被视为非实质性响应性而予以拒绝。</w:t>
      </w:r>
    </w:p>
    <w:p w14:paraId="2222A52F">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3499E076">
      <w:pPr>
        <w:spacing w:line="360" w:lineRule="auto"/>
        <w:ind w:firstLine="420"/>
        <w:rPr>
          <w:rFonts w:hint="eastAsia" w:ascii="仿宋" w:hAnsi="仿宋" w:eastAsia="仿宋" w:cs="仿宋"/>
          <w:color w:val="auto"/>
          <w:sz w:val="21"/>
          <w:szCs w:val="21"/>
        </w:rPr>
      </w:pPr>
      <w:bookmarkStart w:id="24" w:name="_Toc16938541"/>
      <w:bookmarkStart w:id="25" w:name="_Toc20823297"/>
      <w:r>
        <w:rPr>
          <w:rFonts w:hint="eastAsia" w:ascii="仿宋" w:hAnsi="仿宋" w:eastAsia="仿宋" w:cs="仿宋"/>
          <w:color w:val="auto"/>
          <w:sz w:val="21"/>
          <w:szCs w:val="21"/>
        </w:rPr>
        <w:t>17、响应文件</w:t>
      </w:r>
      <w:bookmarkEnd w:id="24"/>
      <w:bookmarkEnd w:id="25"/>
      <w:r>
        <w:rPr>
          <w:rFonts w:hint="eastAsia" w:ascii="仿宋" w:hAnsi="仿宋" w:eastAsia="仿宋" w:cs="仿宋"/>
          <w:color w:val="auto"/>
          <w:sz w:val="21"/>
          <w:szCs w:val="21"/>
        </w:rPr>
        <w:t>的递交</w:t>
      </w:r>
    </w:p>
    <w:p w14:paraId="1509D818">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17.1电子响应文件的递交供应商应当按照《操作手册》规定，在磋商响应截止时间前制作并上传电子响应文件。</w:t>
      </w:r>
      <w:bookmarkStart w:id="26" w:name="_Toc16938542"/>
      <w:bookmarkStart w:id="27" w:name="_Toc20823298"/>
    </w:p>
    <w:p w14:paraId="75F9A9A1">
      <w:pPr>
        <w:spacing w:line="360" w:lineRule="auto"/>
        <w:ind w:firstLine="422"/>
        <w:rPr>
          <w:rFonts w:hint="eastAsia" w:ascii="仿宋" w:hAnsi="仿宋" w:eastAsia="仿宋" w:cs="仿宋"/>
          <w:b/>
          <w:color w:val="auto"/>
          <w:sz w:val="21"/>
          <w:szCs w:val="21"/>
        </w:rPr>
      </w:pPr>
      <w:r>
        <w:rPr>
          <w:rFonts w:hint="eastAsia" w:ascii="仿宋" w:hAnsi="仿宋" w:eastAsia="仿宋" w:cs="仿宋"/>
          <w:b/>
          <w:color w:val="auto"/>
          <w:sz w:val="21"/>
          <w:szCs w:val="21"/>
        </w:rPr>
        <w:t>17.2</w:t>
      </w:r>
      <w:r>
        <w:rPr>
          <w:rFonts w:hint="eastAsia" w:ascii="仿宋" w:hAnsi="仿宋" w:eastAsia="仿宋" w:cs="仿宋"/>
          <w:b/>
          <w:bCs/>
          <w:color w:val="auto"/>
          <w:sz w:val="21"/>
          <w:szCs w:val="21"/>
        </w:rPr>
        <w:t>政府采购管理交易系统（苏采云）</w:t>
      </w:r>
      <w:r>
        <w:rPr>
          <w:rFonts w:hint="eastAsia" w:ascii="仿宋" w:hAnsi="仿宋" w:eastAsia="仿宋" w:cs="仿宋"/>
          <w:b/>
          <w:color w:val="auto"/>
          <w:sz w:val="21"/>
          <w:szCs w:val="21"/>
        </w:rPr>
        <w:t>相关要求是本采购文件的组成部分。</w:t>
      </w:r>
    </w:p>
    <w:p w14:paraId="2C7CDD4E">
      <w:pPr>
        <w:spacing w:line="360" w:lineRule="auto"/>
        <w:ind w:firstLine="422"/>
        <w:rPr>
          <w:rFonts w:hint="eastAsia" w:ascii="仿宋" w:hAnsi="仿宋" w:eastAsia="仿宋" w:cs="仿宋"/>
          <w:b/>
          <w:color w:val="auto"/>
          <w:sz w:val="21"/>
          <w:szCs w:val="21"/>
        </w:rPr>
      </w:pPr>
      <w:r>
        <w:rPr>
          <w:rFonts w:hint="eastAsia" w:ascii="仿宋" w:hAnsi="仿宋" w:eastAsia="仿宋" w:cs="仿宋"/>
          <w:b/>
          <w:color w:val="auto"/>
          <w:sz w:val="21"/>
          <w:szCs w:val="21"/>
        </w:rPr>
        <w:t>17.3供应商应对CA证书妥善保管，如被他人盗用投标，因此带来的结果均由供应商自行承担。</w:t>
      </w:r>
    </w:p>
    <w:p w14:paraId="444A8D8B">
      <w:pPr>
        <w:spacing w:line="360" w:lineRule="auto"/>
        <w:ind w:firstLine="422"/>
        <w:rPr>
          <w:rFonts w:hint="eastAsia" w:ascii="仿宋" w:hAnsi="仿宋" w:eastAsia="仿宋" w:cs="仿宋"/>
          <w:b/>
          <w:color w:val="auto"/>
          <w:sz w:val="21"/>
          <w:szCs w:val="21"/>
        </w:rPr>
      </w:pPr>
      <w:r>
        <w:rPr>
          <w:rFonts w:hint="eastAsia" w:ascii="仿宋" w:hAnsi="仿宋" w:eastAsia="仿宋" w:cs="仿宋"/>
          <w:b/>
          <w:color w:val="auto"/>
          <w:sz w:val="21"/>
          <w:szCs w:val="21"/>
        </w:rPr>
        <w:t>17.4供应商应当对采购文件提出的要求和条件作出实质性响应，并在电子投标系统逐条应答。</w:t>
      </w:r>
    </w:p>
    <w:p w14:paraId="2EC23B58">
      <w:pPr>
        <w:spacing w:line="360" w:lineRule="auto"/>
        <w:ind w:firstLine="422"/>
        <w:rPr>
          <w:rFonts w:hint="eastAsia" w:ascii="仿宋" w:hAnsi="仿宋" w:eastAsia="仿宋" w:cs="仿宋"/>
          <w:b/>
          <w:color w:val="auto"/>
          <w:sz w:val="21"/>
          <w:szCs w:val="21"/>
        </w:rPr>
      </w:pPr>
      <w:r>
        <w:rPr>
          <w:rFonts w:hint="eastAsia" w:ascii="仿宋" w:hAnsi="仿宋" w:eastAsia="仿宋" w:cs="仿宋"/>
          <w:b/>
          <w:color w:val="auto"/>
          <w:sz w:val="21"/>
          <w:szCs w:val="21"/>
        </w:rPr>
        <w:t>17.5</w:t>
      </w:r>
      <w:r>
        <w:rPr>
          <w:rFonts w:hint="eastAsia" w:ascii="仿宋" w:hAnsi="仿宋" w:eastAsia="仿宋" w:cs="仿宋"/>
          <w:b/>
          <w:bCs/>
          <w:color w:val="auto"/>
          <w:sz w:val="21"/>
          <w:szCs w:val="21"/>
        </w:rPr>
        <w:t>供应商</w:t>
      </w:r>
      <w:r>
        <w:rPr>
          <w:rFonts w:hint="eastAsia" w:ascii="仿宋" w:hAnsi="仿宋" w:eastAsia="仿宋" w:cs="仿宋"/>
          <w:b/>
          <w:color w:val="auto"/>
          <w:sz w:val="21"/>
          <w:szCs w:val="21"/>
        </w:rPr>
        <w:t>应对要求提供的资格证明文件（如资质证书、资格证书）、技术资料（如白皮书、彩页、手册、检测报告等）扫描上传至投标系统。</w:t>
      </w:r>
    </w:p>
    <w:p w14:paraId="11921673">
      <w:pPr>
        <w:spacing w:line="360" w:lineRule="auto"/>
        <w:ind w:firstLine="422"/>
        <w:rPr>
          <w:rFonts w:hint="eastAsia" w:ascii="仿宋" w:hAnsi="仿宋" w:eastAsia="仿宋" w:cs="仿宋"/>
          <w:color w:val="auto"/>
          <w:sz w:val="21"/>
          <w:szCs w:val="21"/>
        </w:rPr>
      </w:pPr>
      <w:r>
        <w:rPr>
          <w:rFonts w:hint="eastAsia" w:ascii="仿宋" w:hAnsi="仿宋" w:eastAsia="仿宋" w:cs="仿宋"/>
          <w:b/>
          <w:color w:val="auto"/>
          <w:sz w:val="21"/>
          <w:szCs w:val="21"/>
        </w:rPr>
        <w:t>17.6各</w:t>
      </w:r>
      <w:r>
        <w:rPr>
          <w:rFonts w:hint="eastAsia" w:ascii="仿宋" w:hAnsi="仿宋" w:eastAsia="仿宋" w:cs="仿宋"/>
          <w:b/>
          <w:bCs/>
          <w:color w:val="auto"/>
          <w:sz w:val="21"/>
          <w:szCs w:val="21"/>
        </w:rPr>
        <w:t>供应商</w:t>
      </w:r>
      <w:r>
        <w:rPr>
          <w:rFonts w:hint="eastAsia" w:ascii="仿宋" w:hAnsi="仿宋" w:eastAsia="仿宋" w:cs="仿宋"/>
          <w:b/>
          <w:color w:val="auto"/>
          <w:sz w:val="21"/>
          <w:szCs w:val="21"/>
        </w:rPr>
        <w:t>应在规定时间内凭CA证书进行网上解密。</w:t>
      </w:r>
    </w:p>
    <w:p w14:paraId="7016E4CC">
      <w:pPr>
        <w:spacing w:line="360" w:lineRule="auto"/>
        <w:ind w:firstLine="422"/>
        <w:rPr>
          <w:rFonts w:hint="eastAsia" w:ascii="仿宋" w:hAnsi="仿宋" w:eastAsia="仿宋" w:cs="仿宋"/>
          <w:bCs/>
          <w:sz w:val="21"/>
          <w:szCs w:val="21"/>
        </w:rPr>
      </w:pPr>
      <w:r>
        <w:rPr>
          <w:rFonts w:hint="eastAsia" w:ascii="仿宋" w:hAnsi="仿宋" w:eastAsia="仿宋" w:cs="仿宋"/>
          <w:b/>
          <w:bCs/>
          <w:sz w:val="21"/>
          <w:szCs w:val="21"/>
        </w:rPr>
        <w:t>18、磋商响应截止日期</w:t>
      </w:r>
      <w:bookmarkEnd w:id="26"/>
      <w:bookmarkEnd w:id="27"/>
    </w:p>
    <w:p w14:paraId="55B5C384">
      <w:pPr>
        <w:spacing w:line="360" w:lineRule="auto"/>
        <w:ind w:firstLine="420"/>
        <w:rPr>
          <w:rFonts w:hint="eastAsia" w:ascii="仿宋" w:hAnsi="仿宋" w:eastAsia="仿宋" w:cs="仿宋"/>
          <w:bCs/>
          <w:i/>
          <w:sz w:val="21"/>
          <w:szCs w:val="21"/>
          <w:u w:val="single"/>
        </w:rPr>
      </w:pPr>
      <w:r>
        <w:rPr>
          <w:rFonts w:hint="eastAsia" w:ascii="仿宋" w:hAnsi="仿宋" w:eastAsia="仿宋" w:cs="仿宋"/>
          <w:i/>
          <w:sz w:val="21"/>
          <w:szCs w:val="21"/>
          <w:u w:val="single"/>
        </w:rPr>
        <w:t>18.1</w:t>
      </w:r>
      <w:r>
        <w:rPr>
          <w:rFonts w:hint="eastAsia" w:ascii="仿宋" w:hAnsi="仿宋" w:eastAsia="仿宋" w:cs="仿宋"/>
          <w:bCs/>
          <w:i/>
          <w:sz w:val="21"/>
          <w:szCs w:val="21"/>
          <w:u w:val="single"/>
        </w:rPr>
        <w:t>供应商上传电子响应文件的时间不得迟于采购公告中规定的磋商响应截止时间。</w:t>
      </w:r>
    </w:p>
    <w:p w14:paraId="3466E1F0">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供应商应充分考虑到网络环境、网络带宽等风险因素，如因供应商自身原因造成的电子响应文件上传不成功由供应商自行承担全部责任。</w:t>
      </w:r>
    </w:p>
    <w:p w14:paraId="155759A8">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18.2代理机构可以按照规定，通过修改采购文件延长磋商截止日期，在此情况下，供应商的所有权利和义务以及供应商受制的截止日期均应以延长后新的截止日期为准。</w:t>
      </w:r>
    </w:p>
    <w:p w14:paraId="74EBCCD1">
      <w:pPr>
        <w:spacing w:line="360" w:lineRule="auto"/>
        <w:ind w:firstLine="420"/>
        <w:rPr>
          <w:rFonts w:hint="eastAsia" w:ascii="仿宋" w:hAnsi="仿宋" w:eastAsia="仿宋" w:cs="仿宋"/>
          <w:sz w:val="21"/>
          <w:szCs w:val="21"/>
        </w:rPr>
      </w:pPr>
      <w:bookmarkStart w:id="28" w:name="_Toc20823299"/>
      <w:bookmarkStart w:id="29" w:name="_Toc16938543"/>
      <w:r>
        <w:rPr>
          <w:rFonts w:hint="eastAsia" w:ascii="仿宋" w:hAnsi="仿宋" w:eastAsia="仿宋" w:cs="仿宋"/>
          <w:sz w:val="21"/>
          <w:szCs w:val="21"/>
        </w:rPr>
        <w:t>19、响应文件</w:t>
      </w:r>
      <w:bookmarkEnd w:id="28"/>
      <w:bookmarkEnd w:id="29"/>
      <w:r>
        <w:rPr>
          <w:rFonts w:hint="eastAsia" w:ascii="仿宋" w:hAnsi="仿宋" w:eastAsia="仿宋" w:cs="仿宋"/>
          <w:sz w:val="21"/>
          <w:szCs w:val="21"/>
        </w:rPr>
        <w:t>的拒收</w:t>
      </w:r>
    </w:p>
    <w:p w14:paraId="32CBB7EC">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19.1代理机构拒绝接收在其规定的磋商截止时间后上传的任何响应文件。</w:t>
      </w:r>
    </w:p>
    <w:p w14:paraId="3399BD66">
      <w:pPr>
        <w:spacing w:line="360" w:lineRule="auto"/>
        <w:ind w:firstLine="420"/>
        <w:rPr>
          <w:rFonts w:hint="eastAsia" w:ascii="仿宋" w:hAnsi="仿宋" w:eastAsia="仿宋" w:cs="仿宋"/>
          <w:sz w:val="21"/>
          <w:szCs w:val="21"/>
        </w:rPr>
      </w:pPr>
      <w:bookmarkStart w:id="30" w:name="_Toc20823300"/>
      <w:bookmarkStart w:id="31" w:name="_Toc16938544"/>
      <w:r>
        <w:rPr>
          <w:rFonts w:hint="eastAsia" w:ascii="仿宋" w:hAnsi="仿宋" w:eastAsia="仿宋" w:cs="仿宋"/>
          <w:sz w:val="21"/>
          <w:szCs w:val="21"/>
        </w:rPr>
        <w:t>20、响应文件的撤回和修改</w:t>
      </w:r>
      <w:bookmarkEnd w:id="30"/>
      <w:bookmarkEnd w:id="31"/>
    </w:p>
    <w:p w14:paraId="6780957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20.1响应文件的撤回</w:t>
      </w:r>
    </w:p>
    <w:p w14:paraId="5FFB20B7">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20.1.1电子响应文件的撤回</w:t>
      </w:r>
    </w:p>
    <w:p w14:paraId="665B4CE8">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供应商可在磋商截止时间前，撤回其电子响应文件，具体操作方法见《操作手册》。</w:t>
      </w:r>
    </w:p>
    <w:p w14:paraId="00917646">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20.1.2供应商撤回电子响应文件，则认为其不再参与本项目磋商谈判。</w:t>
      </w:r>
    </w:p>
    <w:p w14:paraId="1B93894A">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20.2响应文件的修改</w:t>
      </w:r>
    </w:p>
    <w:p w14:paraId="1E0B318C">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供应商可在磋商截止时间前，对其电子响应文件进行修改，具体操作方法见《操作手册》。</w:t>
      </w:r>
    </w:p>
    <w:p w14:paraId="5A74C4C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20.3在磋商截止时间之后，供应商不得对其电子响应文件作任何修改。</w:t>
      </w:r>
    </w:p>
    <w:p w14:paraId="73F106C7">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20.4在磋商截止时间至采购文件中规定的磋商有效期满之间的这段时间内，供应商不得撤回其响应文件。</w:t>
      </w:r>
    </w:p>
    <w:p w14:paraId="586E605E">
      <w:pPr>
        <w:spacing w:line="360" w:lineRule="auto"/>
        <w:ind w:firstLine="420"/>
        <w:rPr>
          <w:rFonts w:hint="eastAsia" w:ascii="仿宋" w:hAnsi="仿宋" w:eastAsia="仿宋" w:cs="仿宋"/>
          <w:b/>
          <w:bCs/>
          <w:sz w:val="21"/>
          <w:szCs w:val="21"/>
        </w:rPr>
      </w:pPr>
      <w:r>
        <w:rPr>
          <w:rFonts w:hint="eastAsia" w:ascii="仿宋" w:hAnsi="仿宋" w:eastAsia="仿宋" w:cs="仿宋"/>
          <w:sz w:val="21"/>
          <w:szCs w:val="21"/>
        </w:rPr>
        <w:t>21、磋商</w:t>
      </w:r>
    </w:p>
    <w:p w14:paraId="6321FF42">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21.1代理机构将在采购公告中规定的时间和地点组织磋商开始仪式。供应商应当按照《操作手册》规定，参加磋商活动。</w:t>
      </w:r>
    </w:p>
    <w:p w14:paraId="624B5D49">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21.2供应商在磋商过程中涉及到的响应文件解密等工作，应按照《操作手册》规定执行。</w:t>
      </w:r>
    </w:p>
    <w:p w14:paraId="3507211C">
      <w:pPr>
        <w:spacing w:line="360" w:lineRule="auto"/>
        <w:ind w:firstLine="420"/>
        <w:rPr>
          <w:rFonts w:hint="eastAsia" w:ascii="仿宋" w:hAnsi="仿宋" w:eastAsia="仿宋" w:cs="仿宋"/>
          <w:b/>
          <w:bCs/>
          <w:sz w:val="21"/>
          <w:szCs w:val="21"/>
        </w:rPr>
      </w:pPr>
      <w:r>
        <w:rPr>
          <w:rFonts w:hint="eastAsia" w:ascii="仿宋" w:hAnsi="仿宋" w:eastAsia="仿宋" w:cs="仿宋"/>
          <w:sz w:val="21"/>
          <w:szCs w:val="21"/>
        </w:rPr>
        <w:t>22、磋商小组</w:t>
      </w:r>
    </w:p>
    <w:p w14:paraId="4779ACC7">
      <w:pPr>
        <w:spacing w:line="360" w:lineRule="auto"/>
        <w:ind w:firstLine="420"/>
        <w:rPr>
          <w:rFonts w:hint="eastAsia" w:ascii="仿宋" w:hAnsi="仿宋" w:eastAsia="仿宋" w:cs="仿宋"/>
          <w:b/>
          <w:bCs/>
          <w:sz w:val="21"/>
          <w:szCs w:val="21"/>
        </w:rPr>
      </w:pPr>
      <w:r>
        <w:rPr>
          <w:rFonts w:hint="eastAsia" w:ascii="仿宋" w:hAnsi="仿宋" w:eastAsia="仿宋" w:cs="仿宋"/>
          <w:sz w:val="21"/>
          <w:szCs w:val="21"/>
        </w:rPr>
        <w:t>22.1磋商开始后，代理机构将立即组织磋商小组进行评审。</w:t>
      </w:r>
    </w:p>
    <w:p w14:paraId="1F45D0A6">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22.2磋商小组由采购人代表和有关技术、经济等方面的专家组成，且人员构成符合政府采购有关规定。</w:t>
      </w:r>
    </w:p>
    <w:p w14:paraId="1BB7898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22.3磋商小组独立工作，负责评审有效响应文件并确定成交候选供应商。</w:t>
      </w:r>
    </w:p>
    <w:p w14:paraId="752AFF56">
      <w:pPr>
        <w:spacing w:line="360" w:lineRule="auto"/>
        <w:ind w:firstLine="420"/>
        <w:rPr>
          <w:rFonts w:hint="eastAsia" w:ascii="仿宋" w:hAnsi="仿宋" w:eastAsia="仿宋" w:cs="仿宋"/>
          <w:b/>
          <w:bCs/>
          <w:sz w:val="21"/>
          <w:szCs w:val="21"/>
        </w:rPr>
      </w:pPr>
      <w:r>
        <w:rPr>
          <w:rFonts w:hint="eastAsia" w:ascii="仿宋" w:hAnsi="仿宋" w:eastAsia="仿宋" w:cs="仿宋"/>
          <w:sz w:val="21"/>
          <w:szCs w:val="21"/>
        </w:rPr>
        <w:t>23、评审过程的保密与公正</w:t>
      </w:r>
    </w:p>
    <w:p w14:paraId="6CE4D8C8">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23.1评审专家应当遵守评审工作纪律，不得泄露评审情况和评审中获悉的商业秘密。</w:t>
      </w:r>
    </w:p>
    <w:p w14:paraId="23CE6554">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23.2在评审过程中，供应商不得以任何行为影响评审过程，否则其响应文件将被作为无效响应文件。</w:t>
      </w:r>
    </w:p>
    <w:p w14:paraId="16458CEE">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23.3在评审期间，代理机构将设专门工作人员与供应商联系。</w:t>
      </w:r>
    </w:p>
    <w:p w14:paraId="23386291">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23.4代理机构和磋商小组不向未成交的供应商解释未成交原因，也不公布评审过程中的相关细节。</w:t>
      </w:r>
    </w:p>
    <w:p w14:paraId="2FA25A96">
      <w:pPr>
        <w:spacing w:line="360" w:lineRule="auto"/>
        <w:ind w:firstLine="420"/>
        <w:rPr>
          <w:rFonts w:hint="eastAsia" w:ascii="仿宋" w:hAnsi="仿宋" w:eastAsia="仿宋" w:cs="仿宋"/>
          <w:b/>
          <w:bCs/>
          <w:sz w:val="21"/>
          <w:szCs w:val="21"/>
        </w:rPr>
      </w:pPr>
      <w:r>
        <w:rPr>
          <w:rFonts w:hint="eastAsia" w:ascii="仿宋" w:hAnsi="仿宋" w:eastAsia="仿宋" w:cs="仿宋"/>
          <w:sz w:val="21"/>
          <w:szCs w:val="21"/>
        </w:rPr>
        <w:t>24、磋商的澄清</w:t>
      </w:r>
    </w:p>
    <w:p w14:paraId="4A8CE8C9">
      <w:pPr>
        <w:spacing w:line="360" w:lineRule="auto"/>
        <w:ind w:firstLine="420"/>
        <w:rPr>
          <w:rFonts w:hint="eastAsia" w:ascii="仿宋" w:hAnsi="仿宋" w:eastAsia="仿宋" w:cs="仿宋"/>
          <w:color w:val="auto"/>
          <w:sz w:val="21"/>
          <w:szCs w:val="21"/>
        </w:rPr>
      </w:pPr>
      <w:r>
        <w:rPr>
          <w:rFonts w:hint="eastAsia" w:ascii="仿宋" w:hAnsi="仿宋" w:eastAsia="仿宋" w:cs="仿宋"/>
          <w:sz w:val="21"/>
          <w:szCs w:val="21"/>
        </w:rPr>
        <w:t>24.1评审期间，磋商小组要求供应商澄清、说明或者更正响应文件以电子函件形式提交但并非对每个</w:t>
      </w:r>
      <w:r>
        <w:rPr>
          <w:rFonts w:hint="eastAsia" w:ascii="仿宋" w:hAnsi="仿宋" w:eastAsia="仿宋" w:cs="仿宋"/>
          <w:color w:val="auto"/>
          <w:sz w:val="21"/>
          <w:szCs w:val="21"/>
        </w:rPr>
        <w:t>供应商都作澄清要求。</w:t>
      </w:r>
    </w:p>
    <w:p w14:paraId="0DE098C4">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24.2接到磋商小组澄清要求的供应商应按磋商小组规定的时间和格式在</w:t>
      </w:r>
      <w:r>
        <w:rPr>
          <w:rFonts w:hint="eastAsia" w:ascii="仿宋" w:hAnsi="仿宋" w:eastAsia="仿宋" w:cs="仿宋"/>
          <w:b/>
          <w:bCs/>
          <w:color w:val="auto"/>
          <w:sz w:val="21"/>
          <w:szCs w:val="21"/>
        </w:rPr>
        <w:t>”政府采购管理交易系统（苏采云）”</w:t>
      </w:r>
      <w:r>
        <w:rPr>
          <w:rFonts w:hint="eastAsia" w:ascii="仿宋" w:hAnsi="仿宋" w:eastAsia="仿宋" w:cs="仿宋"/>
          <w:color w:val="auto"/>
          <w:sz w:val="21"/>
          <w:szCs w:val="21"/>
        </w:rPr>
        <w:t>中做出澄清，澄清的内容作为响应文件的补充部分。具体操作方式见</w:t>
      </w:r>
      <w:r>
        <w:rPr>
          <w:rFonts w:hint="eastAsia" w:ascii="仿宋" w:hAnsi="仿宋" w:eastAsia="仿宋" w:cs="仿宋"/>
          <w:bCs/>
          <w:color w:val="auto"/>
          <w:sz w:val="21"/>
          <w:szCs w:val="21"/>
        </w:rPr>
        <w:t>《操作手册》</w:t>
      </w:r>
      <w:r>
        <w:rPr>
          <w:rFonts w:hint="eastAsia" w:ascii="仿宋" w:hAnsi="仿宋" w:eastAsia="仿宋" w:cs="仿宋"/>
          <w:color w:val="auto"/>
          <w:sz w:val="21"/>
          <w:szCs w:val="21"/>
        </w:rPr>
        <w:t>。</w:t>
      </w:r>
    </w:p>
    <w:p w14:paraId="015C3E63">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24.3接到磋商小组澄清要求的供应商如未按规定做出澄清，其风险由供应商自行承担。</w:t>
      </w:r>
    </w:p>
    <w:p w14:paraId="77B3E2D6">
      <w:pPr>
        <w:spacing w:line="360" w:lineRule="auto"/>
        <w:ind w:firstLine="420"/>
        <w:rPr>
          <w:rFonts w:hint="eastAsia" w:ascii="仿宋" w:hAnsi="仿宋" w:eastAsia="仿宋" w:cs="仿宋"/>
          <w:b/>
          <w:bCs/>
          <w:color w:val="auto"/>
          <w:sz w:val="21"/>
          <w:szCs w:val="21"/>
        </w:rPr>
      </w:pPr>
      <w:r>
        <w:rPr>
          <w:rFonts w:hint="eastAsia" w:ascii="仿宋" w:hAnsi="仿宋" w:eastAsia="仿宋" w:cs="仿宋"/>
          <w:color w:val="auto"/>
          <w:sz w:val="21"/>
          <w:szCs w:val="21"/>
        </w:rPr>
        <w:t>25、对响应文件的初审</w:t>
      </w:r>
    </w:p>
    <w:p w14:paraId="698AD2A7">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25.1响应文件初审分为资格审查和符合性审查。</w:t>
      </w:r>
    </w:p>
    <w:p w14:paraId="0B04AA12">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25.1.1资格审查：依据法律法规和采购文件的规定，对响应文件中的资格证明文件进行审查。以确定供应商是否具备参加磋商的资格。</w:t>
      </w:r>
    </w:p>
    <w:p w14:paraId="79095AF3">
      <w:pPr>
        <w:spacing w:line="360" w:lineRule="auto"/>
        <w:ind w:firstLine="420"/>
        <w:rPr>
          <w:rFonts w:hint="eastAsia" w:ascii="仿宋" w:hAnsi="仿宋" w:eastAsia="仿宋" w:cs="仿宋"/>
          <w:color w:val="auto"/>
          <w:sz w:val="21"/>
          <w:szCs w:val="21"/>
        </w:rPr>
      </w:pPr>
      <w:r>
        <w:rPr>
          <w:rFonts w:hint="eastAsia" w:ascii="仿宋" w:hAnsi="仿宋" w:eastAsia="仿宋" w:cs="仿宋"/>
          <w:color w:val="auto"/>
          <w:sz w:val="21"/>
          <w:szCs w:val="21"/>
        </w:rPr>
        <w:t>25.1.2符合性检查：依据采购文件的规定，由磋商小组从响应文件的有效性、完整性和对采购文件的响应程度进行审查，以确定是否对采购文件的实质性要求作出响应。</w:t>
      </w:r>
    </w:p>
    <w:p w14:paraId="599884E2">
      <w:pPr>
        <w:spacing w:line="360" w:lineRule="auto"/>
        <w:ind w:firstLine="420"/>
        <w:rPr>
          <w:rFonts w:hint="eastAsia" w:ascii="仿宋" w:hAnsi="仿宋" w:eastAsia="仿宋" w:cs="仿宋"/>
          <w:sz w:val="21"/>
          <w:szCs w:val="21"/>
        </w:rPr>
      </w:pPr>
      <w:r>
        <w:rPr>
          <w:rFonts w:hint="eastAsia" w:ascii="仿宋" w:hAnsi="仿宋" w:eastAsia="仿宋" w:cs="仿宋"/>
          <w:color w:val="auto"/>
          <w:sz w:val="21"/>
          <w:szCs w:val="21"/>
        </w:rPr>
        <w:t>25.1.3未通过资格审查或符合性审查的供应商，代理机构将在</w:t>
      </w:r>
      <w:r>
        <w:rPr>
          <w:rFonts w:hint="eastAsia" w:ascii="仿宋" w:hAnsi="仿宋" w:eastAsia="仿宋" w:cs="仿宋"/>
          <w:b/>
          <w:bCs/>
          <w:color w:val="auto"/>
          <w:sz w:val="21"/>
          <w:szCs w:val="21"/>
        </w:rPr>
        <w:t>”政府采购管理交易系统（苏采云）”</w:t>
      </w:r>
      <w:r>
        <w:rPr>
          <w:rFonts w:hint="eastAsia" w:ascii="仿宋" w:hAnsi="仿宋" w:eastAsia="仿宋" w:cs="仿宋"/>
          <w:sz w:val="21"/>
          <w:szCs w:val="21"/>
        </w:rPr>
        <w:t>中告知未通过资格审查或符合性审查的原因，评审结束后，代理机构将不再告知未通过资格审查或符合性审查的原因。</w:t>
      </w:r>
    </w:p>
    <w:p w14:paraId="4DA5E8C0">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25.2在详细评审之前，磋商小组将首先审查每份响应文件是否实质性响应了采购文件的要求。实质性响应的响应文件应该是与采购文件要求的全部条款、条件和规格相符，没有重大偏离或保留。</w:t>
      </w:r>
    </w:p>
    <w:p w14:paraId="3C321ED7">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1ADF149F">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25.3如果响应文件实质上没有响应采购文件的要求，磋商小组将予以拒绝，供应商不得通过修改或撤销不合要求的偏离或保留而使其响应文件成为实质性响应的文件。</w:t>
      </w:r>
    </w:p>
    <w:p w14:paraId="43AAFA03">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25.4供应商在开、评标全过程中应保持通讯畅通，并安排专人与代理机构及磋商小组联系。</w:t>
      </w:r>
    </w:p>
    <w:p w14:paraId="5B57C7C5">
      <w:pPr>
        <w:spacing w:line="360" w:lineRule="auto"/>
        <w:ind w:firstLine="42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25.5</w:t>
      </w:r>
      <w:r>
        <w:rPr>
          <w:rFonts w:hint="eastAsia" w:ascii="仿宋" w:hAnsi="仿宋" w:eastAsia="仿宋" w:cs="仿宋"/>
          <w:szCs w:val="21"/>
          <w:highlight w:val="yellow"/>
          <w:lang w:val="en-US" w:eastAsia="zh-CN"/>
        </w:rPr>
        <w:t>在评审过程中，</w:t>
      </w:r>
      <w:r>
        <w:rPr>
          <w:rFonts w:hint="eastAsia" w:ascii="仿宋" w:hAnsi="仿宋" w:eastAsia="仿宋" w:cs="仿宋"/>
          <w:szCs w:val="21"/>
          <w:highlight w:val="yellow"/>
        </w:rPr>
        <w:t>评审委员会</w:t>
      </w:r>
      <w:r>
        <w:rPr>
          <w:rFonts w:hint="eastAsia" w:ascii="仿宋" w:hAnsi="仿宋" w:eastAsia="仿宋" w:cs="仿宋"/>
          <w:szCs w:val="21"/>
          <w:highlight w:val="yellow"/>
          <w:lang w:val="en-US" w:eastAsia="zh-CN"/>
        </w:rPr>
        <w:t>应当</w:t>
      </w:r>
      <w:r>
        <w:rPr>
          <w:rFonts w:hint="eastAsia" w:ascii="仿宋" w:hAnsi="仿宋" w:eastAsia="仿宋" w:cs="仿宋"/>
          <w:szCs w:val="21"/>
          <w:highlight w:val="yellow"/>
        </w:rPr>
        <w:t>启动异常低价投标（响应）审查的情形和具体要求，包括：（一）评审过程中出现下列情形之一的，评审委员会应当启动异常低价投标（响应）审查程序： 1．投标（响应）报价低于采购项目预算50%的，即投标（响应）报价</w:t>
      </w:r>
      <w:r>
        <w:rPr>
          <w:rFonts w:hint="eastAsia" w:ascii="仿宋" w:hAnsi="仿宋" w:eastAsia="仿宋" w:cs="仿宋"/>
          <w:szCs w:val="21"/>
          <w:highlight w:val="yellow"/>
          <w:lang w:val="en-US" w:eastAsia="zh-CN"/>
        </w:rPr>
        <w:t>小于</w:t>
      </w:r>
      <w:r>
        <w:rPr>
          <w:rFonts w:hint="eastAsia" w:ascii="仿宋" w:hAnsi="仿宋" w:eastAsia="仿宋" w:cs="仿宋"/>
          <w:szCs w:val="21"/>
          <w:highlight w:val="yellow"/>
        </w:rPr>
        <w:t>采购项目预算×50% ； 2．投标（响应）报价低于采购项目最高限价 45% 的，即投标（响应）报价</w:t>
      </w:r>
      <w:r>
        <w:rPr>
          <w:rFonts w:hint="eastAsia" w:ascii="仿宋" w:hAnsi="仿宋" w:eastAsia="仿宋" w:cs="仿宋"/>
          <w:szCs w:val="21"/>
          <w:highlight w:val="yellow"/>
          <w:lang w:val="en-US" w:eastAsia="zh-CN"/>
        </w:rPr>
        <w:t>小于</w:t>
      </w:r>
      <w:r>
        <w:rPr>
          <w:rFonts w:hint="eastAsia" w:ascii="仿宋" w:hAnsi="仿宋" w:eastAsia="仿宋" w:cs="仿宋"/>
          <w:szCs w:val="21"/>
          <w:highlight w:val="yellow"/>
        </w:rPr>
        <w:t>采购项目最高限价×45% ； 3．评审委员会认定的供应商报价过低、有可能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szCs w:val="21"/>
          <w:highlight w:val="yellow"/>
          <w:lang w:eastAsia="zh-CN"/>
        </w:rPr>
        <w:t>。</w:t>
      </w:r>
    </w:p>
    <w:p w14:paraId="737E2F26">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26、磋商程序及评审方法和标准</w:t>
      </w:r>
    </w:p>
    <w:p w14:paraId="790E8E73">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26.1磋商程序</w:t>
      </w:r>
    </w:p>
    <w:p w14:paraId="79E70936">
      <w:pPr>
        <w:spacing w:line="360" w:lineRule="auto"/>
        <w:ind w:firstLine="422"/>
        <w:rPr>
          <w:rFonts w:hint="eastAsia" w:ascii="仿宋" w:hAnsi="仿宋" w:eastAsia="仿宋" w:cs="仿宋"/>
          <w:b/>
          <w:bCs/>
          <w:sz w:val="21"/>
          <w:szCs w:val="21"/>
        </w:rPr>
      </w:pPr>
      <w:r>
        <w:rPr>
          <w:rFonts w:hint="eastAsia" w:ascii="仿宋" w:hAnsi="仿宋" w:eastAsia="仿宋" w:cs="仿宋"/>
          <w:b/>
          <w:bCs/>
          <w:color w:val="auto"/>
          <w:sz w:val="21"/>
          <w:szCs w:val="21"/>
        </w:rPr>
        <w:t>26.1.1对于通过资格性和符合性审查的供应商，磋商小组所有成员将集中与单一供应商在“</w:t>
      </w:r>
      <w:r>
        <w:rPr>
          <w:rFonts w:hint="eastAsia" w:ascii="仿宋" w:hAnsi="仿宋" w:eastAsia="仿宋" w:cs="仿宋"/>
          <w:b/>
          <w:bCs/>
          <w:color w:val="auto"/>
          <w:sz w:val="21"/>
          <w:szCs w:val="21"/>
          <w:shd w:val="clear" w:color="FFFFFF" w:fill="FFFFFF"/>
        </w:rPr>
        <w:t>政府采购管理交易系统（苏采云）</w:t>
      </w:r>
      <w:r>
        <w:rPr>
          <w:rFonts w:hint="eastAsia" w:ascii="仿宋" w:hAnsi="仿宋" w:eastAsia="仿宋" w:cs="仿宋"/>
          <w:b/>
          <w:bCs/>
          <w:color w:val="auto"/>
          <w:sz w:val="21"/>
          <w:szCs w:val="21"/>
        </w:rPr>
        <w:t>”中分别</w:t>
      </w:r>
      <w:r>
        <w:rPr>
          <w:rFonts w:hint="eastAsia" w:ascii="仿宋" w:hAnsi="仿宋" w:eastAsia="仿宋" w:cs="仿宋"/>
          <w:b/>
          <w:bCs/>
          <w:sz w:val="21"/>
          <w:szCs w:val="21"/>
        </w:rPr>
        <w:t>进行磋商。</w:t>
      </w:r>
    </w:p>
    <w:p w14:paraId="648D0A6B">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4BE7F5E0">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26.1.2采购文件能够详细列明采购标的的技术、服务要求的，磋商结束后，磋商小组将要求所有实质性响应的供应商在规定时间内提交最后报价。</w:t>
      </w:r>
    </w:p>
    <w:p w14:paraId="1C2EE738">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C9B6C8D">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4EA92D84">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26.1.3供应商未在磋商小组规定的时间内完成最后报价的视为放弃磋商，其响应按无效响应处理。最后报价须加盖电子签章。已提交响应文件的供应商，在提交最后报价之前，可以根据磋商情况退出磋商。</w:t>
      </w:r>
    </w:p>
    <w:p w14:paraId="1FAD5ACC">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26.2评审方法和标准</w:t>
      </w:r>
    </w:p>
    <w:p w14:paraId="1F1E45FB">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26.2.1评审方法。经磋商确定最终采购需求和提交最后报价的供应商后，由磋商小组采用综合评分法对提交最后报价的供应商的响应文件和最后报价进行综合评分。</w:t>
      </w:r>
    </w:p>
    <w:p w14:paraId="66CF4908">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F1A2299">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26.2.2评审标准</w:t>
      </w:r>
    </w:p>
    <w:p w14:paraId="0D9A096A">
      <w:pP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见本采购文件第五章规定。</w:t>
      </w:r>
    </w:p>
    <w:p w14:paraId="46A296BE">
      <w:pPr>
        <w:spacing w:line="360" w:lineRule="auto"/>
        <w:ind w:firstLine="420"/>
        <w:rPr>
          <w:rFonts w:hint="eastAsia" w:ascii="仿宋" w:hAnsi="仿宋" w:eastAsia="仿宋" w:cs="仿宋"/>
          <w:b/>
          <w:bCs/>
          <w:sz w:val="21"/>
          <w:szCs w:val="21"/>
        </w:rPr>
      </w:pPr>
      <w:r>
        <w:rPr>
          <w:rFonts w:hint="eastAsia" w:ascii="仿宋" w:hAnsi="仿宋" w:eastAsia="仿宋" w:cs="仿宋"/>
          <w:sz w:val="21"/>
          <w:szCs w:val="21"/>
        </w:rPr>
        <w:t>27、无效响应及采购活动终止的情况</w:t>
      </w:r>
    </w:p>
    <w:p w14:paraId="28C033E6">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27.1无效响应条款</w:t>
      </w:r>
    </w:p>
    <w:p w14:paraId="514AA8F1">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27.1.1供应商未按照采购文件要求上传电子磋商响应文件的。</w:t>
      </w:r>
    </w:p>
    <w:p w14:paraId="5644526D">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27.1.2供应商未成功解密电子磋商响应文件的。</w:t>
      </w:r>
    </w:p>
    <w:p w14:paraId="038EAE32">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27.1.3供应商不具备采购文件中规定资格要求的。</w:t>
      </w:r>
    </w:p>
    <w:p w14:paraId="1A9C1844">
      <w:pPr>
        <w:spacing w:line="360" w:lineRule="auto"/>
        <w:ind w:firstLine="420"/>
        <w:rPr>
          <w:rFonts w:hint="eastAsia" w:ascii="仿宋" w:hAnsi="仿宋" w:eastAsia="仿宋" w:cs="仿宋"/>
          <w:bCs/>
          <w:i/>
          <w:sz w:val="21"/>
          <w:szCs w:val="21"/>
          <w:u w:val="single"/>
        </w:rPr>
      </w:pPr>
      <w:r>
        <w:rPr>
          <w:rFonts w:hint="eastAsia" w:ascii="仿宋" w:hAnsi="仿宋" w:eastAsia="仿宋" w:cs="仿宋"/>
          <w:bCs/>
          <w:sz w:val="21"/>
          <w:szCs w:val="21"/>
        </w:rPr>
        <w:t>27.1.4未通过符合性审查的。</w:t>
      </w:r>
    </w:p>
    <w:p w14:paraId="38B11252">
      <w:pPr>
        <w:spacing w:line="360" w:lineRule="auto"/>
        <w:ind w:firstLine="420"/>
        <w:rPr>
          <w:rFonts w:hint="eastAsia" w:ascii="仿宋" w:hAnsi="仿宋" w:eastAsia="仿宋" w:cs="仿宋"/>
          <w:bCs/>
          <w:i/>
          <w:sz w:val="21"/>
          <w:szCs w:val="21"/>
          <w:u w:val="single"/>
        </w:rPr>
      </w:pPr>
      <w:r>
        <w:rPr>
          <w:rFonts w:hint="eastAsia" w:ascii="仿宋" w:hAnsi="仿宋" w:eastAsia="仿宋" w:cs="仿宋"/>
          <w:bCs/>
          <w:sz w:val="21"/>
          <w:szCs w:val="21"/>
        </w:rPr>
        <w:t>27.1.5不符合采购文件中规定的其他实质性要求和条件的（</w:t>
      </w:r>
      <w:r>
        <w:rPr>
          <w:rFonts w:hint="eastAsia" w:ascii="仿宋" w:hAnsi="仿宋" w:eastAsia="仿宋" w:cs="仿宋"/>
          <w:bCs/>
          <w:i/>
          <w:sz w:val="21"/>
          <w:szCs w:val="21"/>
          <w:u w:val="single"/>
        </w:rPr>
        <w:t>本采购文件中斜体且有下划线部分为实质性要求和条件）。</w:t>
      </w:r>
    </w:p>
    <w:p w14:paraId="760DE8B8">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27.1.6</w:t>
      </w:r>
      <w:r>
        <w:rPr>
          <w:rFonts w:hint="eastAsia" w:ascii="仿宋" w:hAnsi="仿宋" w:eastAsia="仿宋" w:cs="仿宋"/>
          <w:sz w:val="21"/>
          <w:szCs w:val="21"/>
        </w:rPr>
        <w:t>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D5AB0EE">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27.1.7本项目采购产品被财政部、国家发改委、生态环境部等列入“节能产品品目清单”、“环境标志产品品目清单”强制采购范围，而供应商所磋商产品不在强制采购范围内的。</w:t>
      </w:r>
    </w:p>
    <w:p w14:paraId="7D0D9646">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27.1.8响应文件未按照采购文件要求加盖电子签章。</w:t>
      </w:r>
    </w:p>
    <w:p w14:paraId="1B66633B">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27.1.9其他法律、法规及本采购文件规定的属无效响应的情形。</w:t>
      </w:r>
    </w:p>
    <w:p w14:paraId="23612E23">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27.2</w:t>
      </w:r>
      <w:r>
        <w:rPr>
          <w:rFonts w:hint="eastAsia" w:ascii="仿宋" w:hAnsi="仿宋" w:eastAsia="仿宋" w:cs="仿宋"/>
          <w:sz w:val="21"/>
          <w:szCs w:val="21"/>
        </w:rPr>
        <w:t>采购活动终止的情况</w:t>
      </w:r>
      <w:r>
        <w:rPr>
          <w:rFonts w:hint="eastAsia" w:ascii="仿宋" w:hAnsi="仿宋" w:eastAsia="仿宋" w:cs="仿宋"/>
          <w:bCs/>
          <w:sz w:val="21"/>
          <w:szCs w:val="21"/>
        </w:rPr>
        <w:t>：</w:t>
      </w:r>
    </w:p>
    <w:p w14:paraId="5C34FE96">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27.2.1因情况变化，不再符合规定的竞争性磋商采购方式适用情形的；</w:t>
      </w:r>
    </w:p>
    <w:p w14:paraId="197C8C3E">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27.2.2出现影响采购公正的违法、违规行为的；</w:t>
      </w:r>
    </w:p>
    <w:p w14:paraId="2289230C">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27.2.3</w:t>
      </w:r>
      <w:r>
        <w:rPr>
          <w:rFonts w:hint="eastAsia" w:ascii="仿宋" w:hAnsi="仿宋" w:eastAsia="仿宋" w:cs="仿宋"/>
          <w:sz w:val="21"/>
          <w:szCs w:val="21"/>
        </w:rPr>
        <w:t>除本磋商文件第26.1.2条第三款规定的情形外，在采购过程中符合要求的供应商或者报价未超过采购预算的供应商不足3家的。</w:t>
      </w:r>
    </w:p>
    <w:p w14:paraId="5C37727E">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27.2.4因重大变故，采购任务取消的。</w:t>
      </w:r>
    </w:p>
    <w:p w14:paraId="4783FB90">
      <w:pPr>
        <w:spacing w:line="360" w:lineRule="auto"/>
        <w:ind w:firstLine="420"/>
        <w:rPr>
          <w:rFonts w:hint="eastAsia" w:ascii="仿宋" w:hAnsi="仿宋" w:eastAsia="仿宋" w:cs="仿宋"/>
          <w:b/>
          <w:bCs/>
          <w:sz w:val="21"/>
          <w:szCs w:val="21"/>
        </w:rPr>
      </w:pPr>
      <w:r>
        <w:rPr>
          <w:rFonts w:hint="eastAsia" w:ascii="仿宋" w:hAnsi="仿宋" w:eastAsia="仿宋" w:cs="仿宋"/>
          <w:sz w:val="21"/>
          <w:szCs w:val="21"/>
        </w:rPr>
        <w:t>28、确定成交单位</w:t>
      </w:r>
    </w:p>
    <w:p w14:paraId="549D85A7">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67A0F1E5">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28.2采购人应根据磋商推荐的成交候选人，按照排序由高到低的原件确定成交供应商。</w:t>
      </w:r>
    </w:p>
    <w:p w14:paraId="0FB1F09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28.3代理机构将在“扬州市政府采购网”、”江苏省政府采购网”发布成交公告，公告期限为1个工作日。</w:t>
      </w:r>
    </w:p>
    <w:p w14:paraId="2FF1C34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28.4若有充分证据证明，成交供应商出现下列情况之一的，一经查实，将被取消成交资格：</w:t>
      </w:r>
    </w:p>
    <w:p w14:paraId="1E94F314">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28.4.1提供虚假材料谋取成交的；</w:t>
      </w:r>
    </w:p>
    <w:p w14:paraId="42C18FAF">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28.4.2向采购人、代理机构行贿或者提供其他不正当利益的；</w:t>
      </w:r>
    </w:p>
    <w:p w14:paraId="7EDA8962">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28.4.3恶意竞争，最终总报价明显低于其自身合理成本且又无法提供证明的；</w:t>
      </w:r>
    </w:p>
    <w:p w14:paraId="57461F15">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28.4.4属于本文件规定的无效条件，但在评审过程中又未被磋商小组发现的；</w:t>
      </w:r>
    </w:p>
    <w:p w14:paraId="079AEFD3">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28.4.5与采购人或者其他供应商恶意串通的；</w:t>
      </w:r>
    </w:p>
    <w:p w14:paraId="4623158C">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28.4.6采取不正当手段诋毁、排挤其他供应商的；</w:t>
      </w:r>
    </w:p>
    <w:p w14:paraId="5C899F34">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28.4.7不符合法律、法规的规定的。</w:t>
      </w:r>
    </w:p>
    <w:p w14:paraId="3063A543">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29、质疑处理</w:t>
      </w:r>
    </w:p>
    <w:p w14:paraId="42D663DE">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29.1提出质疑的供应商应当是参与所质疑项目采购活动的供应商。潜在供应商依法获取其可质疑的采购文件的，可以对采购文件提出质疑。</w:t>
      </w:r>
    </w:p>
    <w:p w14:paraId="10DC3DB3">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对项目需求部分的质疑，潜在供应商应向采购人提出，由采购人负责答复。</w:t>
      </w:r>
    </w:p>
    <w:p w14:paraId="092DFB8B">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29.2供应商认为采购文件、采购过程和中标或成交结果使自己的权益受到损害的，可以在知道或应知其权益受到损害之日起7个工作日内，以书面形式向采购人或代理机构提出质疑。</w:t>
      </w:r>
    </w:p>
    <w:p w14:paraId="20F03264">
      <w:pPr>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rPr>
        <w:t>29.2.1对采购文件提出质疑的，应当在获取采购文件之日或者采购文件公告期限届满之日起7个工作日内提出。</w:t>
      </w:r>
    </w:p>
    <w:p w14:paraId="73103FF8">
      <w:pPr>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rPr>
        <w:t>29.2.2对采购过程提出质疑的，为各采购程序环节结束之日起7个工作日内提出。</w:t>
      </w:r>
    </w:p>
    <w:p w14:paraId="2AA2A1D3">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29.2.3对成交结果提出质疑的，为成交结果公告期限届满之日起7个工作日内提出。</w:t>
      </w:r>
    </w:p>
    <w:p w14:paraId="61D797BC">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29.3供应商应在法定质疑期内一次性提出针对同一采购程序环节的质疑。供应商如在法定期限内对同一采购程序环节提出多次质疑的，代理机构、采购人将只对供应商第一次质疑作出答复。</w:t>
      </w:r>
    </w:p>
    <w:p w14:paraId="16D06A9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3057D921">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29.5代理机构及采购人只接收以纸质原件形式送达的质疑。</w:t>
      </w:r>
    </w:p>
    <w:p w14:paraId="41658A27">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采购人质疑接收人及联系方式见采购文件第一章。</w:t>
      </w:r>
    </w:p>
    <w:p w14:paraId="371E1CAA">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29.6代理机构收到质疑申请后，将对质疑的形式和内容进行审查，如质疑内容、格式不符合规定，代理机构将告知质疑人进行补正。</w:t>
      </w:r>
    </w:p>
    <w:p w14:paraId="6A51487E">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29.7质疑人应当在法定质疑期限内进行补正并重新提交质疑函。</w:t>
      </w:r>
    </w:p>
    <w:p w14:paraId="62BC2046">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29.8以下情形的质疑不予受理</w:t>
      </w:r>
    </w:p>
    <w:p w14:paraId="1E0DEE62">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29.8.1内容不符合《政府采购质疑和投诉办法》第十二条规定的质疑。</w:t>
      </w:r>
    </w:p>
    <w:p w14:paraId="3ACDBCB5">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29.8.2超出政府采购法定期限的质疑。</w:t>
      </w:r>
    </w:p>
    <w:p w14:paraId="4627C964">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29.8.3以传真、电子邮件等方式递交的非原件形式的质疑。</w:t>
      </w:r>
    </w:p>
    <w:p w14:paraId="4EF6C1D1">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29.8.4未参加磋商活动的供应商或在磋商活动中自身权益未受到损害的供应商所提出的质疑。</w:t>
      </w:r>
    </w:p>
    <w:p w14:paraId="68102B64">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29.8.5供应商组成联合体参加磋商，联合体中任何一方或多方未按要求签字、盖章、加盖公章的质疑。</w:t>
      </w:r>
    </w:p>
    <w:p w14:paraId="0762E063">
      <w:pPr>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rPr>
        <w:t>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0D3CD09C">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29.10代理机构应当在收到供应商的书面质疑后7个工作日内作出答复，并以书面形式通知质疑供应商和其他有关供应商，但答复的内容不得涉及商业秘密。</w:t>
      </w:r>
    </w:p>
    <w:p w14:paraId="4E153304">
      <w:pPr>
        <w:spacing w:line="360" w:lineRule="auto"/>
        <w:ind w:firstLine="420"/>
        <w:rPr>
          <w:rFonts w:hint="eastAsia" w:ascii="仿宋" w:hAnsi="仿宋" w:eastAsia="仿宋" w:cs="仿宋"/>
          <w:b/>
          <w:bCs/>
          <w:sz w:val="21"/>
          <w:szCs w:val="21"/>
        </w:rPr>
      </w:pPr>
      <w:r>
        <w:rPr>
          <w:rFonts w:hint="eastAsia" w:ascii="仿宋" w:hAnsi="仿宋" w:eastAsia="仿宋" w:cs="仿宋"/>
          <w:sz w:val="21"/>
          <w:szCs w:val="21"/>
        </w:rPr>
        <w:t>30、成交通知书</w:t>
      </w:r>
    </w:p>
    <w:p w14:paraId="2797D06C">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30.l成交结果确定后，代理机构将向成交供应商发出成通知书。</w:t>
      </w:r>
    </w:p>
    <w:p w14:paraId="3B11D2A9">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30.2成交供应商可在”扬州市政府采购交易管理系统（苏采云）”成交通知书下载模块中自行下载成交通知书。</w:t>
      </w:r>
    </w:p>
    <w:p w14:paraId="153454D4">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30.3成交通知书将是合同的一个组成部分。对采购人和成交供应商均具有法律效力。成交通知书发出后，采购人改变成交结果的，或者成交供应商放弃成交项目的，应当依法承担法律责任。</w:t>
      </w:r>
    </w:p>
    <w:p w14:paraId="47CAD2D6">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31、签订合同</w:t>
      </w:r>
    </w:p>
    <w:p w14:paraId="4D60FC93">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31.l成交供应商应在成交通知书发出之日起十五日内，按照采购文件确定的事项与采购人签订政府采购合同。</w:t>
      </w:r>
    </w:p>
    <w:p w14:paraId="2989C73B">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31.2采购文件、成交供应商的响应文件及磋商过程中有关澄清、承诺文件均应作为合同附件。</w:t>
      </w:r>
    </w:p>
    <w:p w14:paraId="00AD373D">
      <w:pPr>
        <w:spacing w:line="360" w:lineRule="auto"/>
        <w:ind w:firstLine="420"/>
        <w:rPr>
          <w:rFonts w:hint="eastAsia" w:ascii="仿宋" w:hAnsi="仿宋" w:eastAsia="仿宋" w:cs="仿宋"/>
          <w:sz w:val="21"/>
          <w:szCs w:val="21"/>
          <w:highlight w:val="none"/>
        </w:rPr>
      </w:pPr>
      <w:r>
        <w:rPr>
          <w:rFonts w:hint="eastAsia" w:ascii="仿宋" w:hAnsi="仿宋" w:eastAsia="仿宋" w:cs="仿宋"/>
          <w:bCs/>
          <w:sz w:val="21"/>
          <w:szCs w:val="21"/>
          <w:highlight w:val="none"/>
        </w:rPr>
        <w:t>31.3合同在“政府采购管理交易系统（苏采云）”中签订，签订合同后，</w:t>
      </w:r>
      <w:r>
        <w:rPr>
          <w:rFonts w:hint="eastAsia" w:ascii="仿宋" w:hAnsi="仿宋" w:eastAsia="仿宋" w:cs="仿宋"/>
          <w:bCs/>
          <w:i/>
          <w:iCs/>
          <w:sz w:val="21"/>
          <w:szCs w:val="21"/>
          <w:highlight w:val="none"/>
          <w:u w:val="single"/>
        </w:rPr>
        <w:t>成交供应商不得将货物或服务及其他服务进行转包</w:t>
      </w:r>
      <w:r>
        <w:rPr>
          <w:rFonts w:hint="eastAsia" w:ascii="仿宋" w:hAnsi="仿宋" w:eastAsia="仿宋" w:cs="仿宋"/>
          <w:bCs/>
          <w:sz w:val="21"/>
          <w:szCs w:val="21"/>
          <w:highlight w:val="none"/>
        </w:rPr>
        <w:t>。未经采购人同意，</w:t>
      </w:r>
      <w:r>
        <w:rPr>
          <w:rFonts w:hint="eastAsia" w:ascii="仿宋" w:hAnsi="仿宋" w:eastAsia="仿宋" w:cs="仿宋"/>
          <w:bCs/>
          <w:color w:val="auto"/>
          <w:sz w:val="21"/>
          <w:szCs w:val="21"/>
          <w:highlight w:val="none"/>
        </w:rPr>
        <w:t>成交供应商也不得采用分包的形式履行合同，</w:t>
      </w:r>
      <w:r>
        <w:rPr>
          <w:rFonts w:hint="eastAsia" w:ascii="仿宋" w:hAnsi="仿宋" w:eastAsia="仿宋" w:cs="仿宋"/>
          <w:bCs/>
          <w:sz w:val="21"/>
          <w:szCs w:val="21"/>
          <w:highlight w:val="none"/>
        </w:rPr>
        <w:t>否则采购人有权终止合同，成交供应商的履约保证金将不予退还。转包或分包造成采购人损失的，成交供应商应承担赔偿责任。</w:t>
      </w:r>
    </w:p>
    <w:p w14:paraId="2DE6C9C6">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3B031C0B">
      <w:pPr>
        <w:numPr>
          <w:ilvl w:val="0"/>
          <w:numId w:val="0"/>
        </w:numPr>
        <w:spacing w:line="360" w:lineRule="auto"/>
        <w:ind w:left="0" w:firstLine="422"/>
        <w:rPr>
          <w:rFonts w:hint="eastAsia" w:ascii="仿宋" w:hAnsi="仿宋" w:eastAsia="仿宋" w:cs="仿宋"/>
          <w:sz w:val="21"/>
          <w:szCs w:val="21"/>
          <w:highlight w:val="yellow"/>
        </w:rPr>
      </w:pPr>
      <w:r>
        <w:rPr>
          <w:rFonts w:hint="eastAsia" w:ascii="仿宋" w:hAnsi="仿宋" w:eastAsia="仿宋" w:cs="仿宋"/>
          <w:b/>
          <w:bCs/>
          <w:sz w:val="21"/>
          <w:szCs w:val="21"/>
          <w:lang w:val="en-US" w:eastAsia="zh-CN"/>
        </w:rPr>
        <w:t>32、</w:t>
      </w:r>
      <w:r>
        <w:rPr>
          <w:rFonts w:hint="eastAsia" w:ascii="仿宋" w:hAnsi="仿宋" w:eastAsia="仿宋" w:cs="仿宋"/>
          <w:b/>
          <w:bCs/>
          <w:sz w:val="21"/>
          <w:szCs w:val="21"/>
        </w:rPr>
        <w:t>其他</w:t>
      </w:r>
    </w:p>
    <w:p w14:paraId="77E2EEFD">
      <w:pPr>
        <w:numPr>
          <w:ilvl w:val="0"/>
          <w:numId w:val="0"/>
        </w:numPr>
        <w:spacing w:line="360" w:lineRule="auto"/>
        <w:ind w:left="0" w:firstLine="420"/>
        <w:rPr>
          <w:rFonts w:hint="eastAsia" w:ascii="仿宋" w:hAnsi="仿宋" w:eastAsia="仿宋" w:cs="仿宋"/>
          <w:strike w:val="0"/>
          <w:sz w:val="21"/>
          <w:szCs w:val="21"/>
          <w:highlight w:val="none"/>
        </w:rPr>
      </w:pPr>
      <w:r>
        <w:rPr>
          <w:rFonts w:hint="eastAsia" w:ascii="仿宋" w:hAnsi="仿宋" w:eastAsia="仿宋" w:cs="仿宋"/>
          <w:strike w:val="0"/>
          <w:sz w:val="21"/>
          <w:szCs w:val="21"/>
          <w:highlight w:val="none"/>
        </w:rPr>
        <w:t>32.1依据《政府采购促进中小企业发展管理办法》享受享受扶持政策获得政府采购合同的，小微企业不得将合同分包给大中型企业，中型企业不得将合同分包给大型企业。</w:t>
      </w:r>
    </w:p>
    <w:p w14:paraId="1B906F4F">
      <w:pPr>
        <w:numPr>
          <w:ilvl w:val="0"/>
          <w:numId w:val="0"/>
        </w:numPr>
        <w:spacing w:line="360" w:lineRule="auto"/>
        <w:ind w:left="0" w:firstLine="420"/>
        <w:rPr>
          <w:rFonts w:hint="eastAsia" w:ascii="仿宋" w:hAnsi="仿宋" w:eastAsia="仿宋" w:cs="仿宋"/>
          <w:b w:val="0"/>
          <w:bCs w:val="0"/>
          <w:sz w:val="21"/>
          <w:szCs w:val="21"/>
          <w:lang w:val="en-US" w:eastAsia="zh-CN" w:bidi="ar-SA"/>
        </w:rPr>
      </w:pPr>
      <w:r>
        <w:rPr>
          <w:rFonts w:hint="eastAsia" w:ascii="仿宋" w:hAnsi="仿宋" w:eastAsia="仿宋" w:cs="仿宋"/>
          <w:b w:val="0"/>
          <w:bCs w:val="0"/>
          <w:sz w:val="21"/>
          <w:szCs w:val="21"/>
          <w:lang w:val="en-US" w:eastAsia="zh-CN" w:bidi="ar-SA"/>
        </w:rPr>
        <w:t>32.2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CF6574C">
      <w:pPr>
        <w:pStyle w:val="242"/>
        <w:widowControl/>
        <w:spacing w:line="360" w:lineRule="auto"/>
        <w:ind w:left="-13" w:firstLine="302"/>
        <w:jc w:val="left"/>
        <w:rPr>
          <w:rFonts w:hint="eastAsia" w:ascii="仿宋" w:hAnsi="仿宋" w:eastAsia="仿宋" w:cs="仿宋"/>
          <w:color w:val="000000"/>
          <w:szCs w:val="21"/>
          <w:highlight w:val="none"/>
          <w:u w:val="none"/>
        </w:rPr>
      </w:pPr>
      <w:r>
        <w:rPr>
          <w:rFonts w:hint="eastAsia" w:ascii="仿宋" w:hAnsi="仿宋" w:eastAsia="仿宋" w:cs="仿宋"/>
          <w:b w:val="0"/>
          <w:bCs w:val="0"/>
          <w:sz w:val="21"/>
          <w:szCs w:val="21"/>
          <w:highlight w:val="none"/>
          <w:lang w:val="en-US" w:eastAsia="zh-CN" w:bidi="ar-SA"/>
        </w:rPr>
        <w:t>33.</w:t>
      </w:r>
      <w:r>
        <w:rPr>
          <w:rFonts w:hint="eastAsia" w:ascii="仿宋" w:hAnsi="仿宋" w:eastAsia="仿宋" w:cs="仿宋"/>
          <w:color w:val="000000"/>
          <w:szCs w:val="21"/>
          <w:highlight w:val="none"/>
        </w:rPr>
        <w:t>履约</w:t>
      </w:r>
      <w:r>
        <w:rPr>
          <w:rFonts w:hint="eastAsia" w:ascii="仿宋" w:hAnsi="仿宋" w:eastAsia="仿宋" w:cs="仿宋"/>
          <w:color w:val="000000"/>
          <w:szCs w:val="21"/>
          <w:highlight w:val="none"/>
          <w:lang w:val="en-US" w:eastAsia="zh-CN"/>
        </w:rPr>
        <w:t>保证金：</w:t>
      </w:r>
      <w:r>
        <w:rPr>
          <w:rFonts w:hint="eastAsia" w:ascii="仿宋" w:hAnsi="仿宋" w:eastAsia="仿宋" w:cs="仿宋"/>
          <w:color w:val="000000"/>
          <w:szCs w:val="21"/>
          <w:highlight w:val="none"/>
          <w:u w:val="none"/>
          <w:lang w:val="en-US" w:eastAsia="zh-CN"/>
        </w:rPr>
        <w:t>本项目无需缴纳</w:t>
      </w:r>
      <w:r>
        <w:rPr>
          <w:rFonts w:hint="eastAsia" w:ascii="仿宋" w:hAnsi="仿宋" w:eastAsia="仿宋" w:cs="仿宋"/>
          <w:color w:val="000000"/>
          <w:szCs w:val="21"/>
          <w:highlight w:val="none"/>
          <w:u w:val="none"/>
        </w:rPr>
        <w:t>履约</w:t>
      </w:r>
      <w:r>
        <w:rPr>
          <w:rFonts w:hint="eastAsia" w:ascii="仿宋" w:hAnsi="仿宋" w:eastAsia="仿宋" w:cs="仿宋"/>
          <w:color w:val="000000"/>
          <w:szCs w:val="21"/>
          <w:highlight w:val="none"/>
          <w:u w:val="none"/>
          <w:lang w:val="en-US" w:eastAsia="zh-CN"/>
        </w:rPr>
        <w:t>保证金</w:t>
      </w:r>
      <w:r>
        <w:rPr>
          <w:rFonts w:hint="eastAsia" w:ascii="仿宋" w:hAnsi="仿宋" w:eastAsia="仿宋" w:cs="仿宋"/>
          <w:color w:val="000000"/>
          <w:szCs w:val="21"/>
          <w:highlight w:val="none"/>
          <w:u w:val="none"/>
        </w:rPr>
        <w:t>。</w:t>
      </w:r>
    </w:p>
    <w:p w14:paraId="4001D05D">
      <w:pPr>
        <w:pStyle w:val="242"/>
        <w:widowControl/>
        <w:spacing w:line="360" w:lineRule="auto"/>
        <w:ind w:left="-13" w:firstLine="302"/>
        <w:jc w:val="left"/>
        <w:rPr>
          <w:rFonts w:hint="eastAsia" w:ascii="仿宋" w:hAnsi="仿宋" w:eastAsia="仿宋" w:cs="仿宋"/>
          <w:color w:val="000000"/>
          <w:szCs w:val="21"/>
        </w:rPr>
      </w:pPr>
    </w:p>
    <w:p w14:paraId="3F8478ED">
      <w:pPr>
        <w:numPr>
          <w:ilvl w:val="0"/>
          <w:numId w:val="0"/>
        </w:numPr>
        <w:spacing w:line="360" w:lineRule="auto"/>
        <w:ind w:left="0" w:firstLine="420"/>
        <w:rPr>
          <w:rFonts w:hint="eastAsia" w:ascii="仿宋" w:hAnsi="仿宋" w:eastAsia="仿宋" w:cs="仿宋"/>
          <w:b w:val="0"/>
          <w:bCs w:val="0"/>
          <w:sz w:val="21"/>
          <w:szCs w:val="21"/>
          <w:lang w:val="en-US" w:eastAsia="zh-CN" w:bidi="ar-SA"/>
        </w:rPr>
      </w:pPr>
    </w:p>
    <w:p w14:paraId="7497F18C">
      <w:pPr>
        <w:pStyle w:val="197"/>
        <w:jc w:val="center"/>
        <w:rPr>
          <w:rFonts w:hint="eastAsia" w:ascii="仿宋" w:hAnsi="仿宋" w:eastAsia="仿宋" w:cs="仿宋"/>
          <w:color w:val="000000"/>
          <w:sz w:val="36"/>
          <w:szCs w:val="36"/>
        </w:rPr>
      </w:pPr>
      <w:r>
        <w:rPr>
          <w:rFonts w:hint="eastAsia" w:ascii="仿宋" w:hAnsi="仿宋" w:eastAsia="仿宋" w:cs="仿宋"/>
        </w:rPr>
        <w:br w:type="page" w:clear="all"/>
      </w:r>
      <w:bookmarkStart w:id="32" w:name="_Toc107582398"/>
      <w:r>
        <w:rPr>
          <w:rFonts w:hint="eastAsia" w:ascii="仿宋" w:hAnsi="仿宋" w:eastAsia="仿宋" w:cs="仿宋"/>
          <w:color w:val="000000"/>
          <w:sz w:val="32"/>
          <w:szCs w:val="32"/>
        </w:rPr>
        <w:t>第三章</w:t>
      </w:r>
      <w:bookmarkEnd w:id="32"/>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合同条款及格式</w:t>
      </w:r>
    </w:p>
    <w:p w14:paraId="38347F88">
      <w:pPr>
        <w:pStyle w:val="212"/>
        <w:spacing w:line="360" w:lineRule="auto"/>
        <w:ind w:firstLine="420"/>
        <w:rPr>
          <w:rFonts w:hint="eastAsia" w:ascii="仿宋" w:hAnsi="仿宋" w:eastAsia="仿宋" w:cs="仿宋"/>
          <w:sz w:val="21"/>
          <w:szCs w:val="21"/>
        </w:rPr>
      </w:pPr>
      <w:r>
        <w:rPr>
          <w:rFonts w:hint="eastAsia" w:ascii="仿宋" w:hAnsi="仿宋" w:eastAsia="仿宋" w:cs="仿宋"/>
          <w:sz w:val="21"/>
          <w:szCs w:val="21"/>
        </w:rPr>
        <w:t>以下为中标后签定本项目合同的通用条款，中标人不得提出实质性的修改。关于专用条款将由采购人与中标人结合本项目具体情况协商后补充，但补充内容对招标文件和投标文件以及通用条款，不得作实质性修改。</w:t>
      </w:r>
    </w:p>
    <w:p w14:paraId="7238185C">
      <w:pPr>
        <w:pStyle w:val="212"/>
        <w:rPr>
          <w:rFonts w:hint="eastAsia" w:ascii="仿宋" w:hAnsi="仿宋" w:eastAsia="仿宋" w:cs="仿宋"/>
          <w:sz w:val="21"/>
          <w:szCs w:val="21"/>
          <w:lang w:eastAsia="zh-CN"/>
        </w:rPr>
      </w:pPr>
    </w:p>
    <w:p w14:paraId="13135C0A">
      <w:pPr>
        <w:spacing w:before="156" w:after="156"/>
        <w:jc w:val="center"/>
        <w:outlineLvl w:val="0"/>
        <w:rPr>
          <w:rFonts w:hint="eastAsia" w:ascii="仿宋" w:hAnsi="仿宋" w:eastAsia="仿宋" w:cs="仿宋"/>
          <w:b/>
          <w:bCs/>
          <w:sz w:val="21"/>
          <w:szCs w:val="21"/>
        </w:rPr>
      </w:pPr>
      <w:r>
        <w:rPr>
          <w:rFonts w:hint="eastAsia" w:ascii="仿宋" w:hAnsi="仿宋" w:eastAsia="仿宋" w:cs="仿宋"/>
          <w:b/>
          <w:bCs/>
          <w:sz w:val="21"/>
          <w:szCs w:val="21"/>
        </w:rPr>
        <w:t>政府采购合同（服务）</w:t>
      </w:r>
    </w:p>
    <w:p w14:paraId="4D0B78BE">
      <w:pPr>
        <w:spacing w:before="156" w:after="156"/>
        <w:jc w:val="center"/>
        <w:outlineLvl w:val="0"/>
        <w:rPr>
          <w:rFonts w:hint="eastAsia" w:ascii="仿宋" w:hAnsi="仿宋" w:eastAsia="仿宋" w:cs="仿宋"/>
          <w:sz w:val="21"/>
          <w:szCs w:val="21"/>
          <w:lang w:eastAsia="zh-CN"/>
        </w:rPr>
      </w:pPr>
    </w:p>
    <w:p w14:paraId="3DC436A9">
      <w:pPr>
        <w:pStyle w:val="212"/>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项目名称：编号：</w:t>
      </w:r>
    </w:p>
    <w:p w14:paraId="6A8CC9DA">
      <w:pPr>
        <w:pStyle w:val="212"/>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甲方（采购人/买方）：</w:t>
      </w:r>
    </w:p>
    <w:p w14:paraId="4C4C8295">
      <w:pPr>
        <w:pStyle w:val="212"/>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乙方（供应商/卖方）：</w:t>
      </w:r>
    </w:p>
    <w:p w14:paraId="2C070446">
      <w:pPr>
        <w:pStyle w:val="212"/>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见证方：</w:t>
      </w:r>
    </w:p>
    <w:p w14:paraId="21A84848">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根据《中华人民共和国政府采购法》、《中华人民共和国</w:t>
      </w:r>
      <w:r>
        <w:rPr>
          <w:rFonts w:hint="eastAsia" w:ascii="仿宋" w:hAnsi="仿宋" w:eastAsia="仿宋" w:cs="仿宋"/>
          <w:sz w:val="21"/>
          <w:szCs w:val="21"/>
          <w:lang w:eastAsia="zh-CN"/>
        </w:rPr>
        <w:t>民法典</w:t>
      </w:r>
      <w:r>
        <w:rPr>
          <w:rFonts w:hint="eastAsia" w:ascii="仿宋" w:hAnsi="仿宋" w:eastAsia="仿宋" w:cs="仿宋"/>
          <w:sz w:val="21"/>
          <w:szCs w:val="21"/>
        </w:rPr>
        <w:t>》等法律法规的规定，甲乙双方按照</w:t>
      </w:r>
      <w:r>
        <w:rPr>
          <w:rFonts w:hint="eastAsia" w:ascii="仿宋" w:hAnsi="仿宋" w:eastAsia="仿宋" w:cs="仿宋"/>
          <w:sz w:val="21"/>
          <w:szCs w:val="21"/>
          <w:lang w:val="en-US" w:eastAsia="zh-CN"/>
        </w:rPr>
        <w:t>扬州九域工程咨询有限公司</w:t>
      </w:r>
      <w:r>
        <w:rPr>
          <w:rFonts w:hint="eastAsia" w:ascii="仿宋" w:hAnsi="仿宋" w:eastAsia="仿宋" w:cs="仿宋"/>
          <w:sz w:val="21"/>
          <w:szCs w:val="21"/>
        </w:rPr>
        <w:t>关于本项目招标结果签订本合同。</w:t>
      </w:r>
    </w:p>
    <w:p w14:paraId="13FDA1CE">
      <w:pPr>
        <w:pStyle w:val="212"/>
        <w:spacing w:before="120" w:after="120"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1、合同标的</w:t>
      </w:r>
    </w:p>
    <w:p w14:paraId="177C98CD">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乙方根据甲方需求，提供下列服务：。</w:t>
      </w:r>
    </w:p>
    <w:p w14:paraId="2A433718">
      <w:pPr>
        <w:pStyle w:val="212"/>
        <w:spacing w:before="120" w:after="120" w:line="360" w:lineRule="auto"/>
        <w:ind w:firstLine="420"/>
        <w:rPr>
          <w:rFonts w:hint="eastAsia" w:ascii="仿宋" w:hAnsi="仿宋" w:eastAsia="仿宋" w:cs="仿宋"/>
          <w:b/>
          <w:bCs/>
          <w:sz w:val="21"/>
          <w:szCs w:val="21"/>
        </w:rPr>
      </w:pPr>
      <w:r>
        <w:rPr>
          <w:rFonts w:hint="eastAsia" w:ascii="仿宋" w:hAnsi="仿宋" w:eastAsia="仿宋" w:cs="仿宋"/>
          <w:sz w:val="21"/>
          <w:szCs w:val="21"/>
        </w:rPr>
        <w:t>服务内容等要求详见招投标文件。</w:t>
      </w:r>
    </w:p>
    <w:p w14:paraId="207CDA6D">
      <w:pPr>
        <w:pStyle w:val="212"/>
        <w:spacing w:before="120" w:after="120"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2、合同总金额</w:t>
      </w:r>
    </w:p>
    <w:p w14:paraId="0A94B873">
      <w:pPr>
        <w:pStyle w:val="212"/>
        <w:spacing w:before="120" w:after="120" w:line="360" w:lineRule="auto"/>
        <w:ind w:left="315" w:firstLine="105"/>
        <w:rPr>
          <w:rFonts w:hint="eastAsia" w:ascii="仿宋" w:hAnsi="仿宋" w:eastAsia="仿宋" w:cs="仿宋"/>
          <w:sz w:val="21"/>
          <w:szCs w:val="21"/>
        </w:rPr>
      </w:pPr>
      <w:r>
        <w:rPr>
          <w:rFonts w:hint="eastAsia" w:ascii="仿宋" w:hAnsi="仿宋" w:eastAsia="仿宋" w:cs="仿宋"/>
          <w:sz w:val="21"/>
          <w:szCs w:val="21"/>
        </w:rPr>
        <w:t>2.1本合同金额为（大写）：_______________________________元人民币（¥_____元）。</w:t>
      </w:r>
    </w:p>
    <w:p w14:paraId="434ABBC5">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2.2本合同总金额包括乙方提供的服务及其他有关的为完成本项目发生的所有费用，招标文件中另有规定的除外。</w:t>
      </w:r>
    </w:p>
    <w:p w14:paraId="64C45E0D">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2.3在招标文件未列明，而乙方认为履行本合同必需的费用也包含在合同总金额中。</w:t>
      </w:r>
    </w:p>
    <w:p w14:paraId="43501606">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2.4本合同总金额还包含乙方提供的伴随服务/售后服务费用。</w:t>
      </w:r>
    </w:p>
    <w:p w14:paraId="4712455F">
      <w:pPr>
        <w:pStyle w:val="212"/>
        <w:spacing w:before="120" w:after="120"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3、组成本合同的有关文件</w:t>
      </w:r>
    </w:p>
    <w:p w14:paraId="2E3EDDCE">
      <w:pPr>
        <w:pStyle w:val="212"/>
        <w:spacing w:before="120" w:after="120" w:line="360" w:lineRule="auto"/>
        <w:ind w:left="315" w:firstLine="105"/>
        <w:rPr>
          <w:rFonts w:hint="eastAsia" w:ascii="仿宋" w:hAnsi="仿宋" w:eastAsia="仿宋" w:cs="仿宋"/>
          <w:sz w:val="21"/>
          <w:szCs w:val="21"/>
        </w:rPr>
      </w:pPr>
      <w:r>
        <w:rPr>
          <w:rFonts w:hint="eastAsia" w:ascii="仿宋" w:hAnsi="仿宋" w:eastAsia="仿宋" w:cs="仿宋"/>
          <w:sz w:val="21"/>
          <w:szCs w:val="21"/>
        </w:rPr>
        <w:t>3.1乙方应按招标文件规定的时间向甲方提供服务的有关技术资料。</w:t>
      </w:r>
    </w:p>
    <w:p w14:paraId="4431E58B">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3.2没有甲方事先书面同意，乙方不得将由甲方提供的有关合同或任何合同条文或资料提供给任何其他人。即使向履行本合同有关的人员提供，也应注意保密并限于履行合同的必需范围。</w:t>
      </w:r>
    </w:p>
    <w:p w14:paraId="0F9D61DC">
      <w:pPr>
        <w:pStyle w:val="212"/>
        <w:spacing w:before="120" w:after="120" w:line="360" w:lineRule="auto"/>
        <w:ind w:left="315" w:firstLine="105"/>
        <w:rPr>
          <w:rFonts w:hint="eastAsia" w:ascii="仿宋" w:hAnsi="仿宋" w:eastAsia="仿宋" w:cs="仿宋"/>
          <w:sz w:val="21"/>
          <w:szCs w:val="21"/>
        </w:rPr>
      </w:pPr>
      <w:r>
        <w:rPr>
          <w:rFonts w:hint="eastAsia" w:ascii="仿宋" w:hAnsi="仿宋" w:eastAsia="仿宋" w:cs="仿宋"/>
          <w:sz w:val="21"/>
          <w:szCs w:val="21"/>
        </w:rPr>
        <w:t>3.3关于本项目政府采购的招投标文件或与本次采购活动方式相适应的文件及有关附件是本合同不可分割的组成部分，这些文件包括但不限于：</w:t>
      </w:r>
    </w:p>
    <w:p w14:paraId="38ACF18C">
      <w:pPr>
        <w:pStyle w:val="212"/>
        <w:spacing w:before="120" w:after="120" w:line="360" w:lineRule="auto"/>
        <w:ind w:left="359" w:hanging="359"/>
        <w:rPr>
          <w:rFonts w:hint="eastAsia" w:ascii="仿宋" w:hAnsi="仿宋" w:eastAsia="仿宋" w:cs="仿宋"/>
          <w:sz w:val="21"/>
          <w:szCs w:val="21"/>
        </w:rPr>
      </w:pPr>
      <w:r>
        <w:rPr>
          <w:rFonts w:hint="eastAsia" w:ascii="仿宋" w:hAnsi="仿宋" w:eastAsia="仿宋" w:cs="仿宋"/>
          <w:sz w:val="21"/>
          <w:szCs w:val="21"/>
        </w:rPr>
        <w:t>（1）投标响应文件；（2）投标报价文件；</w:t>
      </w:r>
    </w:p>
    <w:p w14:paraId="00AA7280">
      <w:pPr>
        <w:pStyle w:val="212"/>
        <w:spacing w:before="120" w:after="120" w:line="360" w:lineRule="auto"/>
        <w:ind w:left="359" w:hanging="359"/>
        <w:rPr>
          <w:rFonts w:hint="eastAsia" w:ascii="仿宋" w:hAnsi="仿宋" w:eastAsia="仿宋" w:cs="仿宋"/>
          <w:sz w:val="21"/>
          <w:szCs w:val="21"/>
        </w:rPr>
      </w:pPr>
      <w:r>
        <w:rPr>
          <w:rFonts w:hint="eastAsia" w:ascii="仿宋" w:hAnsi="仿宋" w:eastAsia="仿宋" w:cs="仿宋"/>
          <w:sz w:val="21"/>
          <w:szCs w:val="21"/>
        </w:rPr>
        <w:t>（3）项目组人员表（4）技术参数、商务条款响应及偏离表；</w:t>
      </w:r>
    </w:p>
    <w:p w14:paraId="520C6184">
      <w:pPr>
        <w:pStyle w:val="212"/>
        <w:spacing w:before="120" w:after="120" w:line="360" w:lineRule="auto"/>
        <w:ind w:left="359" w:hanging="359"/>
        <w:rPr>
          <w:rFonts w:hint="eastAsia" w:ascii="仿宋" w:hAnsi="仿宋" w:eastAsia="仿宋" w:cs="仿宋"/>
          <w:sz w:val="21"/>
          <w:szCs w:val="21"/>
        </w:rPr>
      </w:pPr>
      <w:r>
        <w:rPr>
          <w:rFonts w:hint="eastAsia" w:ascii="仿宋" w:hAnsi="仿宋" w:eastAsia="仿宋" w:cs="仿宋"/>
          <w:sz w:val="21"/>
          <w:szCs w:val="21"/>
        </w:rPr>
        <w:t>（5）服务承诺；（6）中标通知书；</w:t>
      </w:r>
    </w:p>
    <w:p w14:paraId="23F6884C">
      <w:pPr>
        <w:pStyle w:val="212"/>
        <w:spacing w:before="120" w:after="120" w:line="360" w:lineRule="auto"/>
        <w:ind w:left="359" w:hanging="359"/>
        <w:rPr>
          <w:rFonts w:hint="eastAsia" w:ascii="仿宋" w:hAnsi="仿宋" w:eastAsia="仿宋" w:cs="仿宋"/>
          <w:sz w:val="21"/>
          <w:szCs w:val="21"/>
        </w:rPr>
      </w:pPr>
      <w:r>
        <w:rPr>
          <w:rFonts w:hint="eastAsia" w:ascii="仿宋" w:hAnsi="仿宋" w:eastAsia="仿宋" w:cs="仿宋"/>
          <w:sz w:val="21"/>
          <w:szCs w:val="21"/>
        </w:rPr>
        <w:t>（7）甲乙双方补充协议；（8）乙方投标时提供的响应文件。</w:t>
      </w:r>
    </w:p>
    <w:p w14:paraId="23148FD2">
      <w:pPr>
        <w:pStyle w:val="212"/>
        <w:spacing w:before="120" w:after="120" w:line="360" w:lineRule="auto"/>
        <w:ind w:left="315" w:firstLine="105"/>
        <w:rPr>
          <w:rFonts w:hint="eastAsia" w:ascii="仿宋" w:hAnsi="仿宋" w:eastAsia="仿宋" w:cs="仿宋"/>
          <w:b/>
          <w:bCs/>
          <w:sz w:val="21"/>
          <w:szCs w:val="21"/>
        </w:rPr>
      </w:pPr>
      <w:r>
        <w:rPr>
          <w:rFonts w:hint="eastAsia" w:ascii="仿宋" w:hAnsi="仿宋" w:eastAsia="仿宋" w:cs="仿宋"/>
          <w:b/>
          <w:bCs/>
          <w:sz w:val="21"/>
          <w:szCs w:val="21"/>
        </w:rPr>
        <w:t>4、知识产权保证</w:t>
      </w:r>
    </w:p>
    <w:p w14:paraId="3864E87F">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乙方保证甲方在使用、接受本合同服务或其任何一部分时，不受第三方提出侵犯其专利权、版权、商标权和工业设计权等知识产权的起诉。一旦出现侵权，由乙方负全部责任。</w:t>
      </w:r>
    </w:p>
    <w:p w14:paraId="36FF1106">
      <w:pPr>
        <w:pStyle w:val="212"/>
        <w:numPr>
          <w:ilvl w:val="0"/>
          <w:numId w:val="4"/>
        </w:numPr>
        <w:spacing w:before="120" w:after="120" w:line="360" w:lineRule="auto"/>
        <w:ind w:firstLine="422"/>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项目组人员配备表（项目组人员必须全部投入本项目的工作）</w:t>
      </w:r>
    </w:p>
    <w:p w14:paraId="05D2311A">
      <w:pPr>
        <w:pStyle w:val="212"/>
        <w:numPr>
          <w:ilvl w:val="0"/>
          <w:numId w:val="0"/>
        </w:numPr>
        <w:spacing w:before="120" w:after="120" w:line="360" w:lineRule="auto"/>
        <w:ind w:firstLine="420" w:firstLineChars="200"/>
        <w:rPr>
          <w:rFonts w:hint="eastAsia" w:ascii="仿宋" w:hAnsi="仿宋" w:eastAsia="仿宋" w:cs="仿宋"/>
          <w:b/>
          <w:bCs/>
          <w:sz w:val="21"/>
          <w:szCs w:val="21"/>
          <w:lang w:val="en-US" w:eastAsia="zh-CN"/>
        </w:rPr>
      </w:pPr>
      <w:r>
        <w:rPr>
          <w:rFonts w:hint="eastAsia" w:ascii="仿宋" w:hAnsi="仿宋" w:eastAsia="仿宋" w:cs="仿宋"/>
          <w:b w:val="0"/>
          <w:bCs w:val="0"/>
          <w:sz w:val="21"/>
          <w:szCs w:val="21"/>
          <w:lang w:val="en-US" w:eastAsia="zh-CN"/>
        </w:rPr>
        <w:t>5.1项目负责人</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6"/>
        <w:gridCol w:w="5073"/>
        <w:gridCol w:w="3285"/>
      </w:tblGrid>
      <w:tr w14:paraId="0488C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6" w:type="dxa"/>
            <w:vAlign w:val="center"/>
          </w:tcPr>
          <w:p w14:paraId="2D77D3FB">
            <w:pPr>
              <w:spacing w:after="0" w:line="360" w:lineRule="auto"/>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序号</w:t>
            </w:r>
          </w:p>
        </w:tc>
        <w:tc>
          <w:tcPr>
            <w:tcW w:w="5073" w:type="dxa"/>
            <w:vAlign w:val="center"/>
          </w:tcPr>
          <w:p w14:paraId="0B7F2042">
            <w:pPr>
              <w:spacing w:after="0" w:line="360" w:lineRule="auto"/>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姓名</w:t>
            </w:r>
          </w:p>
        </w:tc>
        <w:tc>
          <w:tcPr>
            <w:tcW w:w="3285" w:type="dxa"/>
            <w:vAlign w:val="center"/>
          </w:tcPr>
          <w:p w14:paraId="16181EEE">
            <w:pPr>
              <w:spacing w:after="0" w:line="360" w:lineRule="auto"/>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职务</w:t>
            </w:r>
          </w:p>
        </w:tc>
      </w:tr>
      <w:tr w14:paraId="34F8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96" w:type="dxa"/>
            <w:vAlign w:val="center"/>
          </w:tcPr>
          <w:p w14:paraId="3B491F61">
            <w:pPr>
              <w:spacing w:after="0" w:line="360" w:lineRule="auto"/>
              <w:jc w:val="center"/>
              <w:rPr>
                <w:rFonts w:hint="eastAsia" w:ascii="仿宋" w:hAnsi="仿宋" w:eastAsia="仿宋" w:cs="仿宋"/>
                <w:sz w:val="21"/>
                <w:szCs w:val="21"/>
                <w:vertAlign w:val="baseline"/>
              </w:rPr>
            </w:pPr>
          </w:p>
        </w:tc>
        <w:tc>
          <w:tcPr>
            <w:tcW w:w="5073" w:type="dxa"/>
            <w:vAlign w:val="center"/>
          </w:tcPr>
          <w:p w14:paraId="38D2019D">
            <w:pPr>
              <w:spacing w:after="0" w:line="360" w:lineRule="auto"/>
              <w:jc w:val="center"/>
              <w:rPr>
                <w:rFonts w:hint="eastAsia" w:ascii="仿宋" w:hAnsi="仿宋" w:eastAsia="仿宋" w:cs="仿宋"/>
                <w:sz w:val="21"/>
                <w:szCs w:val="21"/>
                <w:vertAlign w:val="baseline"/>
              </w:rPr>
            </w:pPr>
          </w:p>
        </w:tc>
        <w:tc>
          <w:tcPr>
            <w:tcW w:w="3285" w:type="dxa"/>
            <w:vAlign w:val="center"/>
          </w:tcPr>
          <w:p w14:paraId="4F368748">
            <w:pPr>
              <w:spacing w:after="0" w:line="360" w:lineRule="auto"/>
              <w:jc w:val="center"/>
              <w:rPr>
                <w:rFonts w:hint="eastAsia" w:ascii="仿宋" w:hAnsi="仿宋" w:eastAsia="仿宋" w:cs="仿宋"/>
                <w:sz w:val="21"/>
                <w:szCs w:val="21"/>
                <w:vertAlign w:val="baseline"/>
                <w:lang w:val="en-US" w:eastAsia="zh-CN"/>
              </w:rPr>
            </w:pPr>
          </w:p>
        </w:tc>
      </w:tr>
    </w:tbl>
    <w:p w14:paraId="0935B493">
      <w:pPr>
        <w:pStyle w:val="212"/>
        <w:numPr>
          <w:ilvl w:val="0"/>
          <w:numId w:val="0"/>
        </w:numPr>
        <w:spacing w:before="120" w:after="120" w:line="360" w:lineRule="auto"/>
        <w:ind w:firstLine="420" w:firstLineChars="200"/>
        <w:rPr>
          <w:rFonts w:hint="eastAsia" w:ascii="仿宋" w:hAnsi="仿宋" w:eastAsia="仿宋" w:cs="仿宋"/>
          <w:b/>
          <w:bCs/>
          <w:sz w:val="21"/>
          <w:szCs w:val="21"/>
          <w:lang w:val="en-US" w:eastAsia="zh-CN"/>
        </w:rPr>
      </w:pPr>
      <w:r>
        <w:rPr>
          <w:rFonts w:hint="eastAsia" w:ascii="仿宋" w:hAnsi="仿宋" w:eastAsia="仿宋" w:cs="仿宋"/>
          <w:b w:val="0"/>
          <w:bCs w:val="0"/>
          <w:sz w:val="21"/>
          <w:szCs w:val="21"/>
          <w:lang w:val="en-US" w:eastAsia="zh-CN"/>
        </w:rPr>
        <w:t>5.2项目组成员</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3"/>
        <w:gridCol w:w="5056"/>
        <w:gridCol w:w="3285"/>
      </w:tblGrid>
      <w:tr w14:paraId="000AA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513" w:type="dxa"/>
            <w:vAlign w:val="center"/>
          </w:tcPr>
          <w:p w14:paraId="4A55DA07">
            <w:pPr>
              <w:spacing w:after="0" w:line="360" w:lineRule="auto"/>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序号</w:t>
            </w:r>
          </w:p>
        </w:tc>
        <w:tc>
          <w:tcPr>
            <w:tcW w:w="5056" w:type="dxa"/>
            <w:vAlign w:val="center"/>
          </w:tcPr>
          <w:p w14:paraId="5DFEBEA5">
            <w:pPr>
              <w:spacing w:after="0" w:line="360" w:lineRule="auto"/>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姓名</w:t>
            </w:r>
          </w:p>
        </w:tc>
        <w:tc>
          <w:tcPr>
            <w:tcW w:w="3285" w:type="dxa"/>
            <w:vAlign w:val="center"/>
          </w:tcPr>
          <w:p w14:paraId="76F36EA7">
            <w:pPr>
              <w:spacing w:after="0" w:line="360" w:lineRule="auto"/>
              <w:jc w:val="center"/>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职务</w:t>
            </w:r>
          </w:p>
        </w:tc>
      </w:tr>
      <w:tr w14:paraId="12F1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3" w:type="dxa"/>
            <w:vAlign w:val="center"/>
          </w:tcPr>
          <w:p w14:paraId="2BCA2299">
            <w:pPr>
              <w:spacing w:after="0" w:line="360" w:lineRule="auto"/>
              <w:jc w:val="center"/>
              <w:rPr>
                <w:rFonts w:hint="eastAsia" w:ascii="仿宋" w:hAnsi="仿宋" w:eastAsia="仿宋" w:cs="仿宋"/>
                <w:sz w:val="21"/>
                <w:szCs w:val="21"/>
                <w:vertAlign w:val="baseline"/>
              </w:rPr>
            </w:pPr>
          </w:p>
        </w:tc>
        <w:tc>
          <w:tcPr>
            <w:tcW w:w="5056" w:type="dxa"/>
            <w:vAlign w:val="center"/>
          </w:tcPr>
          <w:p w14:paraId="2B0EB415">
            <w:pPr>
              <w:spacing w:after="0" w:line="360" w:lineRule="auto"/>
              <w:jc w:val="center"/>
              <w:rPr>
                <w:rFonts w:hint="eastAsia" w:ascii="仿宋" w:hAnsi="仿宋" w:eastAsia="仿宋" w:cs="仿宋"/>
                <w:sz w:val="21"/>
                <w:szCs w:val="21"/>
                <w:vertAlign w:val="baseline"/>
              </w:rPr>
            </w:pPr>
          </w:p>
        </w:tc>
        <w:tc>
          <w:tcPr>
            <w:tcW w:w="3285" w:type="dxa"/>
            <w:vAlign w:val="center"/>
          </w:tcPr>
          <w:p w14:paraId="3E0C393D">
            <w:pPr>
              <w:spacing w:after="0" w:line="360" w:lineRule="auto"/>
              <w:jc w:val="center"/>
              <w:rPr>
                <w:rFonts w:hint="eastAsia" w:ascii="仿宋" w:hAnsi="仿宋" w:eastAsia="仿宋" w:cs="仿宋"/>
                <w:sz w:val="21"/>
                <w:szCs w:val="21"/>
                <w:vertAlign w:val="baseline"/>
                <w:lang w:val="en-US" w:eastAsia="zh-CN"/>
              </w:rPr>
            </w:pPr>
          </w:p>
        </w:tc>
      </w:tr>
      <w:tr w14:paraId="7844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3" w:type="dxa"/>
            <w:vAlign w:val="center"/>
          </w:tcPr>
          <w:p w14:paraId="3E3B2257">
            <w:pPr>
              <w:spacing w:after="0" w:line="360" w:lineRule="auto"/>
              <w:jc w:val="center"/>
              <w:rPr>
                <w:rFonts w:hint="eastAsia" w:ascii="仿宋" w:hAnsi="仿宋" w:eastAsia="仿宋" w:cs="仿宋"/>
                <w:sz w:val="21"/>
                <w:szCs w:val="21"/>
                <w:vertAlign w:val="baseline"/>
              </w:rPr>
            </w:pPr>
          </w:p>
        </w:tc>
        <w:tc>
          <w:tcPr>
            <w:tcW w:w="5056" w:type="dxa"/>
            <w:vAlign w:val="center"/>
          </w:tcPr>
          <w:p w14:paraId="7A1633BD">
            <w:pPr>
              <w:spacing w:after="0" w:line="360" w:lineRule="auto"/>
              <w:jc w:val="center"/>
              <w:rPr>
                <w:rFonts w:hint="eastAsia" w:ascii="仿宋" w:hAnsi="仿宋" w:eastAsia="仿宋" w:cs="仿宋"/>
                <w:sz w:val="21"/>
                <w:szCs w:val="21"/>
                <w:vertAlign w:val="baseline"/>
              </w:rPr>
            </w:pPr>
          </w:p>
        </w:tc>
        <w:tc>
          <w:tcPr>
            <w:tcW w:w="3285" w:type="dxa"/>
            <w:vAlign w:val="center"/>
          </w:tcPr>
          <w:p w14:paraId="78A080E6">
            <w:pPr>
              <w:spacing w:after="0" w:line="360" w:lineRule="auto"/>
              <w:jc w:val="center"/>
              <w:rPr>
                <w:rFonts w:hint="eastAsia" w:ascii="仿宋" w:hAnsi="仿宋" w:eastAsia="仿宋" w:cs="仿宋"/>
                <w:sz w:val="21"/>
                <w:szCs w:val="21"/>
                <w:vertAlign w:val="baseline"/>
                <w:lang w:val="en-US" w:eastAsia="zh-CN"/>
              </w:rPr>
            </w:pPr>
          </w:p>
        </w:tc>
      </w:tr>
      <w:tr w14:paraId="63388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3" w:type="dxa"/>
            <w:vAlign w:val="center"/>
          </w:tcPr>
          <w:p w14:paraId="1BEA83C3">
            <w:pPr>
              <w:spacing w:after="0" w:line="360" w:lineRule="auto"/>
              <w:jc w:val="center"/>
              <w:rPr>
                <w:rFonts w:hint="eastAsia" w:ascii="仿宋" w:hAnsi="仿宋" w:eastAsia="仿宋" w:cs="仿宋"/>
                <w:sz w:val="21"/>
                <w:szCs w:val="21"/>
                <w:vertAlign w:val="baseline"/>
              </w:rPr>
            </w:pPr>
          </w:p>
        </w:tc>
        <w:tc>
          <w:tcPr>
            <w:tcW w:w="5056" w:type="dxa"/>
            <w:vAlign w:val="center"/>
          </w:tcPr>
          <w:p w14:paraId="64F97C19">
            <w:pPr>
              <w:spacing w:after="0" w:line="360" w:lineRule="auto"/>
              <w:jc w:val="center"/>
              <w:rPr>
                <w:rFonts w:hint="eastAsia" w:ascii="仿宋" w:hAnsi="仿宋" w:eastAsia="仿宋" w:cs="仿宋"/>
                <w:sz w:val="21"/>
                <w:szCs w:val="21"/>
                <w:vertAlign w:val="baseline"/>
              </w:rPr>
            </w:pPr>
          </w:p>
        </w:tc>
        <w:tc>
          <w:tcPr>
            <w:tcW w:w="3285" w:type="dxa"/>
            <w:vAlign w:val="center"/>
          </w:tcPr>
          <w:p w14:paraId="283D370A">
            <w:pPr>
              <w:spacing w:after="0" w:line="360" w:lineRule="auto"/>
              <w:jc w:val="center"/>
              <w:rPr>
                <w:rFonts w:hint="eastAsia" w:ascii="仿宋" w:hAnsi="仿宋" w:eastAsia="仿宋" w:cs="仿宋"/>
                <w:sz w:val="21"/>
                <w:szCs w:val="21"/>
                <w:vertAlign w:val="baseline"/>
                <w:lang w:val="en-US" w:eastAsia="zh-CN"/>
              </w:rPr>
            </w:pPr>
          </w:p>
        </w:tc>
      </w:tr>
      <w:tr w14:paraId="58D6A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3" w:type="dxa"/>
            <w:vAlign w:val="center"/>
          </w:tcPr>
          <w:p w14:paraId="65923D5E">
            <w:pPr>
              <w:spacing w:after="0" w:line="360" w:lineRule="auto"/>
              <w:jc w:val="center"/>
              <w:rPr>
                <w:rFonts w:hint="eastAsia" w:ascii="仿宋" w:hAnsi="仿宋" w:eastAsia="仿宋" w:cs="仿宋"/>
                <w:sz w:val="21"/>
                <w:szCs w:val="21"/>
                <w:vertAlign w:val="baseline"/>
              </w:rPr>
            </w:pPr>
          </w:p>
        </w:tc>
        <w:tc>
          <w:tcPr>
            <w:tcW w:w="5056" w:type="dxa"/>
            <w:vAlign w:val="center"/>
          </w:tcPr>
          <w:p w14:paraId="2A711DCE">
            <w:pPr>
              <w:spacing w:after="0" w:line="360" w:lineRule="auto"/>
              <w:jc w:val="center"/>
              <w:rPr>
                <w:rFonts w:hint="eastAsia" w:ascii="仿宋" w:hAnsi="仿宋" w:eastAsia="仿宋" w:cs="仿宋"/>
                <w:sz w:val="21"/>
                <w:szCs w:val="21"/>
                <w:vertAlign w:val="baseline"/>
              </w:rPr>
            </w:pPr>
          </w:p>
        </w:tc>
        <w:tc>
          <w:tcPr>
            <w:tcW w:w="3285" w:type="dxa"/>
            <w:vAlign w:val="center"/>
          </w:tcPr>
          <w:p w14:paraId="7F74BD2A">
            <w:pPr>
              <w:spacing w:after="0" w:line="360" w:lineRule="auto"/>
              <w:jc w:val="center"/>
              <w:rPr>
                <w:rFonts w:hint="eastAsia" w:ascii="仿宋" w:hAnsi="仿宋" w:eastAsia="仿宋" w:cs="仿宋"/>
                <w:sz w:val="21"/>
                <w:szCs w:val="21"/>
                <w:vertAlign w:val="baseline"/>
                <w:lang w:val="en-US" w:eastAsia="zh-CN"/>
              </w:rPr>
            </w:pPr>
          </w:p>
        </w:tc>
      </w:tr>
      <w:tr w14:paraId="558C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3" w:type="dxa"/>
            <w:vAlign w:val="center"/>
          </w:tcPr>
          <w:p w14:paraId="58720421">
            <w:pPr>
              <w:spacing w:after="0" w:line="360" w:lineRule="auto"/>
              <w:jc w:val="center"/>
              <w:rPr>
                <w:rFonts w:hint="eastAsia" w:ascii="仿宋" w:hAnsi="仿宋" w:eastAsia="仿宋" w:cs="仿宋"/>
                <w:sz w:val="21"/>
                <w:szCs w:val="21"/>
                <w:vertAlign w:val="baseline"/>
              </w:rPr>
            </w:pPr>
          </w:p>
        </w:tc>
        <w:tc>
          <w:tcPr>
            <w:tcW w:w="5056" w:type="dxa"/>
            <w:vAlign w:val="center"/>
          </w:tcPr>
          <w:p w14:paraId="0E7D866B">
            <w:pPr>
              <w:spacing w:after="0" w:line="360" w:lineRule="auto"/>
              <w:jc w:val="center"/>
              <w:rPr>
                <w:rFonts w:hint="eastAsia" w:ascii="仿宋" w:hAnsi="仿宋" w:eastAsia="仿宋" w:cs="仿宋"/>
                <w:sz w:val="21"/>
                <w:szCs w:val="21"/>
                <w:vertAlign w:val="baseline"/>
              </w:rPr>
            </w:pPr>
          </w:p>
        </w:tc>
        <w:tc>
          <w:tcPr>
            <w:tcW w:w="3285" w:type="dxa"/>
            <w:vAlign w:val="center"/>
          </w:tcPr>
          <w:p w14:paraId="21F8B489">
            <w:pPr>
              <w:spacing w:after="0" w:line="360" w:lineRule="auto"/>
              <w:jc w:val="center"/>
              <w:rPr>
                <w:rFonts w:hint="eastAsia" w:ascii="仿宋" w:hAnsi="仿宋" w:eastAsia="仿宋" w:cs="仿宋"/>
                <w:sz w:val="21"/>
                <w:szCs w:val="21"/>
                <w:vertAlign w:val="baseline"/>
                <w:lang w:val="en-US" w:eastAsia="zh-CN"/>
              </w:rPr>
            </w:pPr>
          </w:p>
        </w:tc>
      </w:tr>
      <w:tr w14:paraId="00208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3" w:type="dxa"/>
            <w:vAlign w:val="center"/>
          </w:tcPr>
          <w:p w14:paraId="46D21738">
            <w:pPr>
              <w:spacing w:after="0" w:line="360" w:lineRule="auto"/>
              <w:jc w:val="center"/>
              <w:rPr>
                <w:rFonts w:hint="eastAsia" w:ascii="仿宋" w:hAnsi="仿宋" w:eastAsia="仿宋" w:cs="仿宋"/>
                <w:sz w:val="21"/>
                <w:szCs w:val="21"/>
                <w:vertAlign w:val="baseline"/>
              </w:rPr>
            </w:pPr>
          </w:p>
        </w:tc>
        <w:tc>
          <w:tcPr>
            <w:tcW w:w="5056" w:type="dxa"/>
            <w:vAlign w:val="center"/>
          </w:tcPr>
          <w:p w14:paraId="107EA8FE">
            <w:pPr>
              <w:spacing w:after="0" w:line="360" w:lineRule="auto"/>
              <w:jc w:val="center"/>
              <w:rPr>
                <w:rFonts w:hint="eastAsia" w:ascii="仿宋" w:hAnsi="仿宋" w:eastAsia="仿宋" w:cs="仿宋"/>
                <w:sz w:val="21"/>
                <w:szCs w:val="21"/>
                <w:vertAlign w:val="baseline"/>
              </w:rPr>
            </w:pPr>
          </w:p>
        </w:tc>
        <w:tc>
          <w:tcPr>
            <w:tcW w:w="3285" w:type="dxa"/>
            <w:vAlign w:val="center"/>
          </w:tcPr>
          <w:p w14:paraId="78E29265">
            <w:pPr>
              <w:spacing w:after="0" w:line="360" w:lineRule="auto"/>
              <w:jc w:val="center"/>
              <w:rPr>
                <w:rFonts w:hint="eastAsia" w:ascii="仿宋" w:hAnsi="仿宋" w:eastAsia="仿宋" w:cs="仿宋"/>
                <w:sz w:val="21"/>
                <w:szCs w:val="21"/>
                <w:vertAlign w:val="baseline"/>
                <w:lang w:val="en-US" w:eastAsia="zh-CN"/>
              </w:rPr>
            </w:pPr>
          </w:p>
        </w:tc>
      </w:tr>
    </w:tbl>
    <w:p w14:paraId="792C9E6F">
      <w:pPr>
        <w:pStyle w:val="212"/>
        <w:spacing w:before="120" w:after="120" w:line="360" w:lineRule="auto"/>
        <w:ind w:left="315" w:firstLine="105"/>
        <w:rPr>
          <w:rFonts w:hint="eastAsia" w:ascii="仿宋" w:hAnsi="仿宋" w:eastAsia="仿宋" w:cs="仿宋"/>
          <w:b/>
          <w:bCs/>
          <w:sz w:val="21"/>
          <w:szCs w:val="21"/>
        </w:rPr>
      </w:pPr>
      <w:r>
        <w:rPr>
          <w:rFonts w:hint="eastAsia" w:ascii="仿宋" w:hAnsi="仿宋" w:eastAsia="仿宋" w:cs="仿宋"/>
          <w:b/>
          <w:bCs/>
          <w:sz w:val="21"/>
          <w:szCs w:val="21"/>
        </w:rPr>
        <w:t>6、履约保证金</w:t>
      </w:r>
    </w:p>
    <w:p w14:paraId="02936C3F">
      <w:pPr>
        <w:spacing w:line="360" w:lineRule="auto"/>
        <w:ind w:firstLine="420"/>
        <w:rPr>
          <w:rFonts w:hint="eastAsia" w:ascii="仿宋" w:hAnsi="仿宋" w:eastAsia="仿宋" w:cs="仿宋"/>
          <w:sz w:val="21"/>
          <w:szCs w:val="21"/>
          <w:lang w:val="en-US" w:eastAsia="zh-CN"/>
        </w:rPr>
      </w:pPr>
      <w:r>
        <w:rPr>
          <w:rFonts w:hint="eastAsia" w:ascii="仿宋" w:hAnsi="仿宋" w:eastAsia="仿宋" w:cs="仿宋"/>
          <w:sz w:val="21"/>
          <w:szCs w:val="21"/>
        </w:rPr>
        <w:t>6.1 </w:t>
      </w:r>
      <w:r>
        <w:rPr>
          <w:rFonts w:hint="eastAsia" w:ascii="仿宋" w:hAnsi="仿宋" w:eastAsia="仿宋" w:cs="仿宋"/>
          <w:color w:val="000000"/>
          <w:szCs w:val="21"/>
          <w:u w:val="none"/>
          <w:lang w:val="en-US" w:eastAsia="zh-CN"/>
        </w:rPr>
        <w:t>本项目无需缴纳</w:t>
      </w:r>
      <w:r>
        <w:rPr>
          <w:rFonts w:hint="eastAsia" w:ascii="仿宋" w:hAnsi="仿宋" w:eastAsia="仿宋" w:cs="仿宋"/>
          <w:color w:val="000000"/>
          <w:szCs w:val="21"/>
          <w:u w:val="none"/>
        </w:rPr>
        <w:t>履约</w:t>
      </w:r>
      <w:r>
        <w:rPr>
          <w:rFonts w:hint="eastAsia" w:ascii="仿宋" w:hAnsi="仿宋" w:eastAsia="仿宋" w:cs="仿宋"/>
          <w:color w:val="000000"/>
          <w:szCs w:val="21"/>
          <w:u w:val="none"/>
          <w:lang w:val="en-US" w:eastAsia="zh-CN"/>
        </w:rPr>
        <w:t>保证金。</w:t>
      </w:r>
    </w:p>
    <w:p w14:paraId="1E1F363F">
      <w:pPr>
        <w:pStyle w:val="212"/>
        <w:spacing w:before="120" w:after="120" w:line="360" w:lineRule="auto"/>
        <w:ind w:left="315" w:firstLine="105"/>
        <w:rPr>
          <w:rFonts w:hint="eastAsia" w:ascii="仿宋" w:hAnsi="仿宋" w:eastAsia="仿宋" w:cs="仿宋"/>
          <w:b/>
          <w:bCs/>
          <w:sz w:val="21"/>
          <w:szCs w:val="21"/>
        </w:rPr>
      </w:pPr>
      <w:r>
        <w:rPr>
          <w:rFonts w:hint="eastAsia" w:ascii="仿宋" w:hAnsi="仿宋" w:eastAsia="仿宋" w:cs="仿宋"/>
          <w:b/>
          <w:bCs/>
          <w:sz w:val="21"/>
          <w:szCs w:val="21"/>
        </w:rPr>
        <w:t>7、转包或分包</w:t>
      </w:r>
    </w:p>
    <w:p w14:paraId="448C3CEB">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7.1本合同禁止转包，本合同范围的服务，应由乙方直接提供的，不得转让他人提供。</w:t>
      </w:r>
    </w:p>
    <w:p w14:paraId="6EDB9611">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7.2经甲方同意，乙方可以依法采取分包方式履行合同，但是分包方式履行的，乙方应就采购项目向甲方负全责。</w:t>
      </w:r>
    </w:p>
    <w:p w14:paraId="71438AE8">
      <w:pPr>
        <w:pStyle w:val="212"/>
        <w:spacing w:before="120" w:after="120" w:line="360" w:lineRule="auto"/>
        <w:ind w:left="315" w:firstLine="105"/>
        <w:rPr>
          <w:rFonts w:hint="eastAsia" w:ascii="仿宋" w:hAnsi="仿宋" w:eastAsia="仿宋" w:cs="仿宋"/>
          <w:b/>
          <w:bCs/>
          <w:sz w:val="21"/>
          <w:szCs w:val="21"/>
          <w:lang w:eastAsia="zh-CN"/>
        </w:rPr>
      </w:pPr>
      <w:r>
        <w:rPr>
          <w:rFonts w:hint="eastAsia" w:ascii="仿宋" w:hAnsi="仿宋" w:eastAsia="仿宋" w:cs="仿宋"/>
          <w:b/>
          <w:bCs/>
          <w:sz w:val="21"/>
          <w:szCs w:val="21"/>
        </w:rPr>
        <w:t>8、</w:t>
      </w:r>
      <w:r>
        <w:rPr>
          <w:rFonts w:hint="eastAsia" w:ascii="仿宋" w:hAnsi="仿宋" w:eastAsia="仿宋" w:cs="仿宋"/>
          <w:b/>
          <w:bCs/>
          <w:sz w:val="21"/>
          <w:szCs w:val="21"/>
          <w:lang w:val="en-US" w:eastAsia="zh-CN"/>
        </w:rPr>
        <w:t>服务期</w:t>
      </w:r>
    </w:p>
    <w:p w14:paraId="2211CCF3">
      <w:pPr>
        <w:pStyle w:val="212"/>
        <w:spacing w:before="120" w:after="120" w:line="360" w:lineRule="auto"/>
        <w:ind w:left="315" w:firstLine="105"/>
        <w:rPr>
          <w:rFonts w:hint="eastAsia" w:ascii="仿宋" w:hAnsi="仿宋" w:eastAsia="仿宋" w:cs="仿宋"/>
          <w:sz w:val="21"/>
          <w:szCs w:val="21"/>
        </w:rPr>
      </w:pPr>
      <w:r>
        <w:rPr>
          <w:rFonts w:hint="eastAsia" w:ascii="仿宋" w:hAnsi="仿宋" w:eastAsia="仿宋" w:cs="仿宋"/>
          <w:sz w:val="21"/>
          <w:szCs w:val="21"/>
        </w:rPr>
        <w:t>8.1</w:t>
      </w:r>
      <w:r>
        <w:rPr>
          <w:rFonts w:hint="eastAsia" w:ascii="仿宋" w:hAnsi="仿宋" w:eastAsia="仿宋" w:cs="仿宋"/>
          <w:sz w:val="21"/>
          <w:szCs w:val="21"/>
          <w:lang w:val="en-US" w:eastAsia="zh-CN"/>
        </w:rPr>
        <w:t>服务期：3年</w:t>
      </w:r>
      <w:r>
        <w:rPr>
          <w:rFonts w:hint="eastAsia" w:ascii="仿宋" w:hAnsi="仿宋" w:eastAsia="仿宋" w:cs="仿宋"/>
          <w:sz w:val="21"/>
          <w:szCs w:val="21"/>
        </w:rPr>
        <w:t>。</w:t>
      </w:r>
    </w:p>
    <w:p w14:paraId="0CC0B0DF">
      <w:pPr>
        <w:pStyle w:val="212"/>
        <w:spacing w:before="120" w:after="120" w:line="360" w:lineRule="auto"/>
        <w:ind w:left="315" w:firstLine="105"/>
        <w:rPr>
          <w:rFonts w:hint="eastAsia" w:ascii="仿宋" w:hAnsi="仿宋" w:eastAsia="仿宋" w:cs="仿宋"/>
          <w:b/>
          <w:bCs/>
          <w:sz w:val="21"/>
          <w:szCs w:val="21"/>
        </w:rPr>
      </w:pPr>
      <w:r>
        <w:rPr>
          <w:rFonts w:hint="eastAsia" w:ascii="仿宋" w:hAnsi="仿宋" w:eastAsia="仿宋" w:cs="仿宋"/>
          <w:b/>
          <w:bCs/>
          <w:sz w:val="21"/>
          <w:szCs w:val="21"/>
        </w:rPr>
        <w:t>9、交付期、交付方式及交付地点</w:t>
      </w:r>
    </w:p>
    <w:p w14:paraId="59ABA47D">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9.1交付期：_________</w:t>
      </w:r>
    </w:p>
    <w:p w14:paraId="64C5F115">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9.2交付方式：_________</w:t>
      </w:r>
    </w:p>
    <w:p w14:paraId="18E3AD70">
      <w:pPr>
        <w:pStyle w:val="212"/>
        <w:spacing w:before="120" w:after="120" w:line="360" w:lineRule="auto"/>
        <w:ind w:firstLine="420"/>
        <w:rPr>
          <w:rFonts w:hint="eastAsia" w:ascii="仿宋" w:hAnsi="仿宋" w:eastAsia="仿宋" w:cs="仿宋"/>
          <w:b/>
          <w:bCs/>
          <w:sz w:val="21"/>
          <w:szCs w:val="21"/>
        </w:rPr>
      </w:pPr>
      <w:r>
        <w:rPr>
          <w:rFonts w:hint="eastAsia" w:ascii="仿宋" w:hAnsi="仿宋" w:eastAsia="仿宋" w:cs="仿宋"/>
          <w:sz w:val="21"/>
          <w:szCs w:val="21"/>
        </w:rPr>
        <w:t>9.3交付地点：_________</w:t>
      </w:r>
    </w:p>
    <w:p w14:paraId="37C5C38E">
      <w:pPr>
        <w:pStyle w:val="212"/>
        <w:spacing w:before="120" w:after="120" w:line="360" w:lineRule="auto"/>
        <w:ind w:left="315" w:firstLine="105"/>
        <w:rPr>
          <w:rFonts w:hint="eastAsia" w:ascii="仿宋" w:hAnsi="仿宋" w:eastAsia="仿宋" w:cs="仿宋"/>
          <w:b/>
          <w:bCs/>
          <w:sz w:val="21"/>
          <w:szCs w:val="21"/>
        </w:rPr>
      </w:pPr>
      <w:r>
        <w:rPr>
          <w:rFonts w:hint="eastAsia" w:ascii="仿宋" w:hAnsi="仿宋" w:eastAsia="仿宋" w:cs="仿宋"/>
          <w:b/>
          <w:bCs/>
          <w:sz w:val="21"/>
          <w:szCs w:val="21"/>
        </w:rPr>
        <w:t>10、货款支付</w:t>
      </w:r>
    </w:p>
    <w:p w14:paraId="35F6C7D6">
      <w:pPr>
        <w:spacing w:line="360" w:lineRule="auto"/>
        <w:ind w:firstLine="420"/>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10.1本合同项下所有款项均以人民币支付。</w:t>
      </w:r>
    </w:p>
    <w:p w14:paraId="7AAB5B67">
      <w:pPr>
        <w:spacing w:line="360" w:lineRule="auto"/>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10.2本合同项下的采购资金由甲方支付，付款前乙方向甲方开具发票。</w:t>
      </w:r>
    </w:p>
    <w:p w14:paraId="58302020">
      <w:pPr>
        <w:spacing w:line="360" w:lineRule="auto"/>
        <w:ind w:firstLine="420"/>
        <w:rPr>
          <w:rFonts w:hint="eastAsia" w:ascii="仿宋" w:hAnsi="仿宋" w:eastAsia="仿宋" w:cs="仿宋"/>
          <w:color w:val="0000FF"/>
          <w:sz w:val="21"/>
          <w:szCs w:val="21"/>
          <w:highlight w:val="none"/>
        </w:rPr>
      </w:pPr>
      <w:r>
        <w:rPr>
          <w:rFonts w:hint="eastAsia" w:ascii="仿宋" w:hAnsi="仿宋" w:eastAsia="仿宋" w:cs="仿宋"/>
          <w:color w:val="000000"/>
          <w:sz w:val="21"/>
          <w:szCs w:val="21"/>
        </w:rPr>
        <w:t>10.3甲方付款方式：</w:t>
      </w:r>
      <w:r>
        <w:rPr>
          <w:rFonts w:hint="eastAsia" w:ascii="仿宋" w:hAnsi="仿宋" w:eastAsia="仿宋" w:cs="仿宋"/>
          <w:color w:val="000000"/>
          <w:sz w:val="21"/>
          <w:szCs w:val="21"/>
          <w:u w:val="single"/>
          <w:lang w:val="en-US" w:eastAsia="zh-CN"/>
        </w:rPr>
        <w:t>合同签订后一个月内凭乙方的发票付合同价的10%的预付款，以后分三年支付，每满一年支付一次费用，每次支付费用按审计价扣除预付款的三分之一。所有款项支付均需要出具正式的增值税发票方能支付</w:t>
      </w:r>
      <w:r>
        <w:rPr>
          <w:rFonts w:hint="eastAsia" w:ascii="仿宋" w:hAnsi="仿宋" w:eastAsia="仿宋" w:cs="仿宋"/>
          <w:b/>
          <w:bCs/>
          <w:i w:val="0"/>
          <w:iCs w:val="0"/>
          <w:color w:val="auto"/>
          <w:sz w:val="21"/>
          <w:szCs w:val="21"/>
          <w:highlight w:val="none"/>
          <w:u w:val="single"/>
          <w:lang w:val="en-US" w:eastAsia="zh-CN"/>
        </w:rPr>
        <w:t>。</w:t>
      </w:r>
    </w:p>
    <w:p w14:paraId="284635A1">
      <w:pPr>
        <w:pStyle w:val="212"/>
        <w:spacing w:before="120" w:after="120" w:line="360" w:lineRule="auto"/>
        <w:ind w:left="420"/>
        <w:rPr>
          <w:rFonts w:hint="eastAsia" w:ascii="仿宋" w:hAnsi="仿宋" w:eastAsia="仿宋" w:cs="仿宋"/>
          <w:b/>
          <w:bCs/>
          <w:sz w:val="21"/>
          <w:szCs w:val="21"/>
        </w:rPr>
      </w:pPr>
      <w:r>
        <w:rPr>
          <w:rFonts w:hint="eastAsia" w:ascii="仿宋" w:hAnsi="仿宋" w:eastAsia="仿宋" w:cs="仿宋"/>
          <w:b/>
          <w:bCs/>
          <w:sz w:val="21"/>
          <w:szCs w:val="21"/>
        </w:rPr>
        <w:t>11、税费</w:t>
      </w:r>
    </w:p>
    <w:p w14:paraId="3E6A76FE">
      <w:pPr>
        <w:pStyle w:val="212"/>
        <w:spacing w:before="120" w:after="120" w:line="360" w:lineRule="auto"/>
        <w:ind w:firstLine="420"/>
        <w:rPr>
          <w:rFonts w:hint="eastAsia" w:ascii="仿宋" w:hAnsi="仿宋" w:eastAsia="仿宋" w:cs="仿宋"/>
          <w:b/>
          <w:bCs/>
          <w:sz w:val="21"/>
          <w:szCs w:val="21"/>
        </w:rPr>
      </w:pPr>
      <w:r>
        <w:rPr>
          <w:rFonts w:hint="eastAsia" w:ascii="仿宋" w:hAnsi="仿宋" w:eastAsia="仿宋" w:cs="仿宋"/>
          <w:sz w:val="21"/>
          <w:szCs w:val="21"/>
        </w:rPr>
        <w:t>本合同执行中相关的一切税费均由乙方负担。</w:t>
      </w:r>
    </w:p>
    <w:p w14:paraId="1044F522">
      <w:pPr>
        <w:pStyle w:val="212"/>
        <w:spacing w:before="120" w:after="120" w:line="360" w:lineRule="auto"/>
        <w:ind w:left="315" w:firstLine="105"/>
        <w:rPr>
          <w:rFonts w:hint="eastAsia" w:ascii="仿宋" w:hAnsi="仿宋" w:eastAsia="仿宋" w:cs="仿宋"/>
          <w:b/>
          <w:bCs/>
          <w:sz w:val="21"/>
          <w:szCs w:val="21"/>
        </w:rPr>
      </w:pPr>
      <w:r>
        <w:rPr>
          <w:rFonts w:hint="eastAsia" w:ascii="仿宋" w:hAnsi="仿宋" w:eastAsia="仿宋" w:cs="仿宋"/>
          <w:b/>
          <w:bCs/>
          <w:sz w:val="21"/>
          <w:szCs w:val="21"/>
        </w:rPr>
        <w:t>12、质量保证及售后服务</w:t>
      </w:r>
    </w:p>
    <w:p w14:paraId="3D44C8F5">
      <w:pPr>
        <w:spacing w:before="156" w:after="156" w:line="360" w:lineRule="auto"/>
        <w:ind w:firstLine="420"/>
        <w:rPr>
          <w:rFonts w:hint="eastAsia" w:ascii="仿宋" w:hAnsi="仿宋" w:eastAsia="仿宋" w:cs="仿宋"/>
          <w:sz w:val="21"/>
          <w:szCs w:val="21"/>
        </w:rPr>
      </w:pPr>
      <w:r>
        <w:rPr>
          <w:rFonts w:hint="eastAsia" w:ascii="仿宋" w:hAnsi="仿宋" w:eastAsia="仿宋" w:cs="仿宋"/>
          <w:sz w:val="21"/>
          <w:szCs w:val="21"/>
        </w:rPr>
        <w:t>12.1乙方应按招标文件规定及响应文件承诺的技术性能、技术要求、质量标准向甲方提供服务；若无特殊说明，则按国家有关部门最新颁布的标准及规范为准。</w:t>
      </w:r>
    </w:p>
    <w:p w14:paraId="3A09F8C6">
      <w:pPr>
        <w:spacing w:before="156" w:after="156" w:line="360" w:lineRule="auto"/>
        <w:ind w:firstLine="420"/>
        <w:rPr>
          <w:rFonts w:hint="eastAsia" w:ascii="仿宋" w:hAnsi="仿宋" w:eastAsia="仿宋" w:cs="仿宋"/>
          <w:sz w:val="21"/>
          <w:szCs w:val="21"/>
        </w:rPr>
      </w:pPr>
      <w:r>
        <w:rPr>
          <w:rFonts w:hint="eastAsia" w:ascii="仿宋" w:hAnsi="仿宋" w:eastAsia="仿宋" w:cs="仿宋"/>
          <w:sz w:val="21"/>
          <w:szCs w:val="21"/>
        </w:rPr>
        <w:t>12.2乙方应保证其提供的服务是全面和规范的，并完全符合招投标文件。如因乙方提供的服务有瑕疵造成甲方损失的，所需费用由乙方承担。</w:t>
      </w:r>
    </w:p>
    <w:p w14:paraId="4DD6B0D3">
      <w:pPr>
        <w:pStyle w:val="212"/>
        <w:spacing w:before="120" w:after="120" w:line="360" w:lineRule="auto"/>
        <w:ind w:left="315" w:firstLine="105"/>
        <w:rPr>
          <w:rFonts w:hint="eastAsia" w:ascii="仿宋" w:hAnsi="仿宋" w:eastAsia="仿宋" w:cs="仿宋"/>
          <w:b/>
          <w:bCs/>
          <w:sz w:val="21"/>
          <w:szCs w:val="21"/>
        </w:rPr>
      </w:pPr>
      <w:r>
        <w:rPr>
          <w:rFonts w:hint="eastAsia" w:ascii="仿宋" w:hAnsi="仿宋" w:eastAsia="仿宋" w:cs="仿宋"/>
          <w:b/>
          <w:bCs/>
          <w:sz w:val="21"/>
          <w:szCs w:val="21"/>
        </w:rPr>
        <w:t>13、交付和验收</w:t>
      </w:r>
    </w:p>
    <w:p w14:paraId="369DCC7E">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13.1乙方应当在合同签订后天内完成服务事项，招标文件有约定的，从其约定。</w:t>
      </w:r>
    </w:p>
    <w:p w14:paraId="32BA42BB">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在交付前，乙方应作出全面检查和对验收文件进行整理，并列出清单，作为甲方初验收和使用的技术条件依据，检验的结果交甲方。</w:t>
      </w:r>
    </w:p>
    <w:p w14:paraId="1D330F7A">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13.2验收标准：按乙方投标文件的承诺，并不低于国家相关标准。</w:t>
      </w:r>
    </w:p>
    <w:p w14:paraId="24BE47D4">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对于乙方要交付的服务，甲乙双方须在工作日内初验收，甲方对乙方提交的服务依据招标文件上的技术要求和国家有关质量标准进行现场初步验收，外观、说明书、包装符合招标文件技术要求的，给予签收，初步验收不合格的不予签收。</w:t>
      </w:r>
    </w:p>
    <w:p w14:paraId="74A72B4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13.3乙方按照招标文件要求负责安装并培训甲方的使用操作人员，乙方在甲方使用前进行调试，调试直到符合技术要求的甲方才做最终验收。</w:t>
      </w:r>
    </w:p>
    <w:p w14:paraId="2959855D">
      <w:pPr>
        <w:spacing w:line="360" w:lineRule="auto"/>
        <w:ind w:firstLine="420"/>
        <w:rPr>
          <w:rFonts w:hint="eastAsia" w:ascii="仿宋" w:hAnsi="仿宋" w:eastAsia="仿宋" w:cs="仿宋"/>
          <w:sz w:val="21"/>
          <w:szCs w:val="21"/>
        </w:rPr>
      </w:pPr>
      <w:r>
        <w:rPr>
          <w:rFonts w:hint="eastAsia" w:ascii="仿宋" w:hAnsi="仿宋" w:eastAsia="仿宋" w:cs="仿宋"/>
          <w:sz w:val="21"/>
          <w:szCs w:val="21"/>
        </w:rPr>
        <w:t>13.4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p>
    <w:p w14:paraId="42EA8BD7">
      <w:pPr>
        <w:spacing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13.5甲乙双方关于调试和验收的其他约定：。</w:t>
      </w:r>
    </w:p>
    <w:p w14:paraId="4AEAB98A">
      <w:pPr>
        <w:pStyle w:val="212"/>
        <w:spacing w:before="120" w:after="120" w:line="360" w:lineRule="auto"/>
        <w:ind w:left="315" w:firstLine="105"/>
        <w:rPr>
          <w:rFonts w:hint="eastAsia" w:ascii="仿宋" w:hAnsi="仿宋" w:eastAsia="仿宋" w:cs="仿宋"/>
          <w:b/>
          <w:bCs/>
          <w:sz w:val="21"/>
          <w:szCs w:val="21"/>
        </w:rPr>
      </w:pPr>
      <w:r>
        <w:rPr>
          <w:rFonts w:hint="eastAsia" w:ascii="仿宋" w:hAnsi="仿宋" w:eastAsia="仿宋" w:cs="仿宋"/>
          <w:b/>
          <w:bCs/>
          <w:sz w:val="21"/>
          <w:szCs w:val="21"/>
        </w:rPr>
        <w:t>14、包装、发运及运输</w:t>
      </w:r>
    </w:p>
    <w:p w14:paraId="4391191A">
      <w:pPr>
        <w:pStyle w:val="212"/>
        <w:spacing w:line="360" w:lineRule="auto"/>
        <w:ind w:firstLine="420"/>
        <w:rPr>
          <w:rFonts w:hint="eastAsia" w:ascii="仿宋" w:hAnsi="仿宋" w:eastAsia="仿宋" w:cs="仿宋"/>
          <w:sz w:val="21"/>
          <w:szCs w:val="21"/>
        </w:rPr>
      </w:pPr>
      <w:r>
        <w:rPr>
          <w:rFonts w:hint="eastAsia" w:ascii="仿宋" w:hAnsi="仿宋" w:eastAsia="仿宋" w:cs="仿宋"/>
          <w:sz w:val="21"/>
          <w:szCs w:val="21"/>
        </w:rPr>
        <w:t>14.1乙方应对其提供的服务所涉及物品在发运前对其进行满足运输距离、防潮、防震、防锈和防破损装卸等要求包装，以保证安全运达甲方指定地点。</w:t>
      </w:r>
    </w:p>
    <w:p w14:paraId="1AC00E6C">
      <w:pPr>
        <w:pStyle w:val="212"/>
        <w:spacing w:line="360" w:lineRule="auto"/>
        <w:ind w:firstLine="420"/>
        <w:rPr>
          <w:rFonts w:hint="eastAsia" w:ascii="仿宋" w:hAnsi="仿宋" w:eastAsia="仿宋" w:cs="仿宋"/>
          <w:sz w:val="21"/>
          <w:szCs w:val="21"/>
        </w:rPr>
      </w:pPr>
      <w:r>
        <w:rPr>
          <w:rFonts w:hint="eastAsia" w:ascii="仿宋" w:hAnsi="仿宋" w:eastAsia="仿宋" w:cs="仿宋"/>
          <w:sz w:val="21"/>
          <w:szCs w:val="21"/>
        </w:rPr>
        <w:t>14.2乙方交付时，使用说明书、检验证明书、随配附件和工具以及清单一并附于内。</w:t>
      </w:r>
    </w:p>
    <w:p w14:paraId="29BD9D89">
      <w:pPr>
        <w:pStyle w:val="212"/>
        <w:spacing w:line="360" w:lineRule="auto"/>
        <w:ind w:firstLine="420"/>
        <w:rPr>
          <w:rFonts w:hint="eastAsia" w:ascii="仿宋" w:hAnsi="仿宋" w:eastAsia="仿宋" w:cs="仿宋"/>
          <w:sz w:val="21"/>
          <w:szCs w:val="21"/>
        </w:rPr>
      </w:pPr>
      <w:r>
        <w:rPr>
          <w:rFonts w:hint="eastAsia" w:ascii="仿宋" w:hAnsi="仿宋" w:eastAsia="仿宋" w:cs="仿宋"/>
          <w:sz w:val="21"/>
          <w:szCs w:val="21"/>
        </w:rPr>
        <w:t>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p>
    <w:p w14:paraId="399AC66D">
      <w:pPr>
        <w:pStyle w:val="212"/>
        <w:spacing w:line="360" w:lineRule="auto"/>
        <w:ind w:firstLine="420"/>
        <w:rPr>
          <w:rFonts w:hint="eastAsia" w:ascii="仿宋" w:hAnsi="仿宋" w:eastAsia="仿宋" w:cs="仿宋"/>
          <w:sz w:val="21"/>
          <w:szCs w:val="21"/>
        </w:rPr>
      </w:pPr>
      <w:r>
        <w:rPr>
          <w:rFonts w:hint="eastAsia" w:ascii="仿宋" w:hAnsi="仿宋" w:eastAsia="仿宋" w:cs="仿宋"/>
          <w:sz w:val="21"/>
          <w:szCs w:val="21"/>
        </w:rPr>
        <w:t>14.4服务在交付甲方前发生的风险均由乙方负责。</w:t>
      </w:r>
    </w:p>
    <w:p w14:paraId="6348FB1C">
      <w:pPr>
        <w:pStyle w:val="212"/>
        <w:spacing w:line="360" w:lineRule="auto"/>
        <w:ind w:firstLine="420"/>
        <w:rPr>
          <w:rFonts w:hint="eastAsia" w:ascii="仿宋" w:hAnsi="仿宋" w:eastAsia="仿宋" w:cs="仿宋"/>
          <w:sz w:val="21"/>
          <w:szCs w:val="21"/>
        </w:rPr>
      </w:pPr>
      <w:r>
        <w:rPr>
          <w:rFonts w:hint="eastAsia" w:ascii="仿宋" w:hAnsi="仿宋" w:eastAsia="仿宋" w:cs="仿宋"/>
          <w:sz w:val="21"/>
          <w:szCs w:val="21"/>
        </w:rPr>
        <w:t>14.5服务在规定的交付期限内由乙方送达甲方指定的地点。</w:t>
      </w:r>
    </w:p>
    <w:p w14:paraId="63BFE7A2">
      <w:pPr>
        <w:pStyle w:val="212"/>
        <w:spacing w:before="120" w:after="120" w:line="360" w:lineRule="auto"/>
        <w:ind w:left="315" w:firstLine="105"/>
        <w:rPr>
          <w:rFonts w:hint="eastAsia" w:ascii="仿宋" w:hAnsi="仿宋" w:eastAsia="仿宋" w:cs="仿宋"/>
          <w:b/>
          <w:bCs/>
          <w:sz w:val="21"/>
          <w:szCs w:val="21"/>
        </w:rPr>
      </w:pPr>
      <w:r>
        <w:rPr>
          <w:rFonts w:hint="eastAsia" w:ascii="仿宋" w:hAnsi="仿宋" w:eastAsia="仿宋" w:cs="仿宋"/>
          <w:b/>
          <w:bCs/>
          <w:sz w:val="21"/>
          <w:szCs w:val="21"/>
        </w:rPr>
        <w:t>15、违约责任</w:t>
      </w:r>
    </w:p>
    <w:p w14:paraId="6C8100C0">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15.1甲方无正当理由拒绝初验收和终验收服务项目的，甲方应按未付服务项目款金额每日万分之五向乙方支付违约金。</w:t>
      </w:r>
    </w:p>
    <w:p w14:paraId="781D7DA2">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15.2甲方无故逾期验收和无故逾期办理款项支付手续的,甲方应按逾期付款金额每日万分之五向乙方支付违约金。</w:t>
      </w:r>
    </w:p>
    <w:p w14:paraId="3E776050">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15.3乙方违约，在消除违约情形前，应按本合同项目总额每日万分之五向甲方支付违约金，甲方可以从待付款项中扣除。</w:t>
      </w:r>
    </w:p>
    <w:p w14:paraId="45F82F7F">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15.4乙方因逾期交付服务项目或因其他违约行为，导致甲方解除合同的，乙方应向甲方支付合同总值5%的违约金，如造成甲方损失超过违约金的，超出部分由乙方继续承担赔偿责任。</w:t>
      </w:r>
    </w:p>
    <w:p w14:paraId="60478D63">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15.5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p>
    <w:p w14:paraId="78AB2FF1">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15.6合同生效后，发现乙方投标属虚假承诺，或经权威部门监测提供的服务不能满足招标文件要求，造成合同无法继续履行的，乙方履约保证金不予退还外，还应向甲方支付不少于合同总价%赔偿金。</w:t>
      </w:r>
    </w:p>
    <w:p w14:paraId="4403F3FE">
      <w:pPr>
        <w:pStyle w:val="212"/>
        <w:spacing w:before="120" w:after="120"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16、不可抗力事件处理</w:t>
      </w:r>
    </w:p>
    <w:p w14:paraId="6AC41E57">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12DEB213">
      <w:pPr>
        <w:pStyle w:val="212"/>
        <w:spacing w:before="120" w:after="120" w:line="360" w:lineRule="auto"/>
        <w:ind w:firstLine="420"/>
        <w:rPr>
          <w:rFonts w:hint="eastAsia" w:ascii="仿宋" w:hAnsi="仿宋" w:eastAsia="仿宋" w:cs="仿宋"/>
          <w:color w:val="000000"/>
          <w:sz w:val="21"/>
          <w:szCs w:val="21"/>
        </w:rPr>
      </w:pPr>
      <w:r>
        <w:rPr>
          <w:rFonts w:hint="eastAsia" w:ascii="仿宋" w:hAnsi="仿宋" w:eastAsia="仿宋" w:cs="仿宋"/>
          <w:sz w:val="21"/>
          <w:szCs w:val="21"/>
        </w:rPr>
        <w:t>16.2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hint="eastAsia" w:ascii="仿宋" w:hAnsi="仿宋" w:eastAsia="仿宋" w:cs="仿宋"/>
          <w:color w:val="000000"/>
          <w:sz w:val="21"/>
          <w:szCs w:val="21"/>
        </w:rPr>
        <w:t>120天以上，双方应通过友好协商，确定是否继续履行合同。</w:t>
      </w:r>
    </w:p>
    <w:p w14:paraId="4284F92D">
      <w:pPr>
        <w:pStyle w:val="212"/>
        <w:spacing w:before="120" w:after="120" w:line="360" w:lineRule="auto"/>
        <w:ind w:left="315" w:firstLine="105"/>
        <w:rPr>
          <w:rFonts w:hint="eastAsia" w:ascii="仿宋" w:hAnsi="仿宋" w:eastAsia="仿宋" w:cs="仿宋"/>
          <w:b/>
          <w:bCs/>
          <w:color w:val="000000"/>
          <w:sz w:val="21"/>
          <w:szCs w:val="21"/>
        </w:rPr>
      </w:pPr>
      <w:r>
        <w:rPr>
          <w:rFonts w:hint="eastAsia" w:ascii="仿宋" w:hAnsi="仿宋" w:eastAsia="仿宋" w:cs="仿宋"/>
          <w:b/>
          <w:bCs/>
          <w:color w:val="000000"/>
          <w:sz w:val="21"/>
          <w:szCs w:val="21"/>
        </w:rPr>
        <w:t>17、争议解决</w:t>
      </w:r>
    </w:p>
    <w:p w14:paraId="3743799B">
      <w:pPr>
        <w:pStyle w:val="212"/>
        <w:spacing w:before="120" w:after="120" w:line="360" w:lineRule="auto"/>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17.1因服务的品质质量问题发生争议的，可在国家认可的质量检测机构对服务内容质量进行鉴定。服务符合标准的，鉴定费由甲方承担；服务项目不符合质量标准的，鉴定费由乙方承担。</w:t>
      </w:r>
    </w:p>
    <w:p w14:paraId="40FCA5A8">
      <w:pPr>
        <w:pStyle w:val="212"/>
        <w:spacing w:before="120" w:after="120" w:line="360" w:lineRule="auto"/>
        <w:ind w:firstLine="420"/>
        <w:rPr>
          <w:rFonts w:hint="eastAsia" w:ascii="仿宋" w:hAnsi="仿宋" w:eastAsia="仿宋" w:cs="仿宋"/>
          <w:color w:val="000000"/>
          <w:sz w:val="21"/>
          <w:szCs w:val="21"/>
        </w:rPr>
      </w:pPr>
      <w:r>
        <w:rPr>
          <w:rFonts w:hint="eastAsia" w:ascii="仿宋" w:hAnsi="仿宋" w:eastAsia="仿宋" w:cs="仿宋"/>
          <w:color w:val="000000"/>
          <w:sz w:val="21"/>
          <w:szCs w:val="21"/>
        </w:rPr>
        <w:t>17.2因履行本合同引起的或与本合同有关的争议，甲、乙双方应首先通过友好协商解决；如果协商不能解决争议，甲乙双方同意采取下列两种方式的第</w:t>
      </w:r>
      <w:r>
        <w:rPr>
          <w:rFonts w:hint="eastAsia" w:ascii="仿宋" w:hAnsi="仿宋" w:eastAsia="仿宋" w:cs="仿宋"/>
          <w:color w:val="000000"/>
          <w:sz w:val="21"/>
          <w:szCs w:val="21"/>
          <w:u w:val="single"/>
        </w:rPr>
        <w:t>（</w:t>
      </w:r>
      <w:r>
        <w:rPr>
          <w:rFonts w:hint="eastAsia" w:ascii="仿宋" w:hAnsi="仿宋" w:eastAsia="仿宋" w:cs="仿宋"/>
          <w:color w:val="000000"/>
          <w:sz w:val="21"/>
          <w:szCs w:val="21"/>
          <w:u w:val="single"/>
          <w:lang w:val="en-US" w:eastAsia="zh-CN"/>
        </w:rPr>
        <w:t>1</w:t>
      </w:r>
      <w:r>
        <w:rPr>
          <w:rFonts w:hint="eastAsia" w:ascii="仿宋" w:hAnsi="仿宋" w:eastAsia="仿宋" w:cs="仿宋"/>
          <w:color w:val="000000"/>
          <w:sz w:val="21"/>
          <w:szCs w:val="21"/>
          <w:u w:val="single"/>
        </w:rPr>
        <w:t>）</w:t>
      </w:r>
      <w:r>
        <w:rPr>
          <w:rFonts w:hint="eastAsia" w:ascii="仿宋" w:hAnsi="仿宋" w:eastAsia="仿宋" w:cs="仿宋"/>
          <w:color w:val="000000"/>
          <w:sz w:val="21"/>
          <w:szCs w:val="21"/>
        </w:rPr>
        <w:t>种方式解决争议：</w:t>
      </w:r>
    </w:p>
    <w:p w14:paraId="33E4CDB6">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color w:val="000000"/>
          <w:sz w:val="21"/>
          <w:szCs w:val="21"/>
        </w:rPr>
        <w:t>（1）向甲方所在地有管辖权的人民法院提起诉讼，适用中华人民</w:t>
      </w:r>
      <w:r>
        <w:rPr>
          <w:rFonts w:hint="eastAsia" w:ascii="仿宋" w:hAnsi="仿宋" w:eastAsia="仿宋" w:cs="仿宋"/>
          <w:sz w:val="21"/>
          <w:szCs w:val="21"/>
        </w:rPr>
        <w:t>共和国法律；</w:t>
      </w:r>
    </w:p>
    <w:p w14:paraId="66689288">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（2）向扬州仲裁委员会按其仲裁规则申请仲裁。</w:t>
      </w:r>
    </w:p>
    <w:p w14:paraId="41C5B408">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17.3若甲乙双方任何一方都没有选择解除合同的，为避免扩大损失，在诉讼或仲裁期间，双方应继续履行。</w:t>
      </w:r>
    </w:p>
    <w:p w14:paraId="1A7F6CBD">
      <w:pPr>
        <w:spacing w:line="360" w:lineRule="auto"/>
        <w:ind w:firstLine="422"/>
        <w:rPr>
          <w:rFonts w:hint="eastAsia" w:ascii="仿宋" w:hAnsi="仿宋" w:eastAsia="仿宋" w:cs="仿宋"/>
          <w:sz w:val="21"/>
          <w:szCs w:val="21"/>
        </w:rPr>
      </w:pPr>
      <w:r>
        <w:rPr>
          <w:rFonts w:hint="eastAsia" w:ascii="仿宋" w:hAnsi="仿宋" w:eastAsia="仿宋" w:cs="仿宋"/>
          <w:b/>
          <w:bCs/>
          <w:sz w:val="21"/>
          <w:szCs w:val="21"/>
        </w:rPr>
        <w:t>18、</w:t>
      </w:r>
      <w:r>
        <w:rPr>
          <w:rFonts w:hint="eastAsia" w:ascii="仿宋" w:hAnsi="仿宋" w:eastAsia="仿宋" w:cs="仿宋"/>
          <w:sz w:val="21"/>
          <w:szCs w:val="21"/>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p>
    <w:p w14:paraId="64CF4C38">
      <w:pPr>
        <w:pStyle w:val="212"/>
        <w:spacing w:before="120" w:after="120" w:line="360" w:lineRule="auto"/>
        <w:ind w:left="315" w:firstLine="105"/>
        <w:rPr>
          <w:rFonts w:hint="eastAsia" w:ascii="仿宋" w:hAnsi="仿宋" w:eastAsia="仿宋" w:cs="仿宋"/>
          <w:b/>
          <w:bCs/>
          <w:sz w:val="21"/>
          <w:szCs w:val="21"/>
        </w:rPr>
      </w:pPr>
      <w:r>
        <w:rPr>
          <w:rFonts w:hint="eastAsia" w:ascii="仿宋" w:hAnsi="仿宋" w:eastAsia="仿宋" w:cs="仿宋"/>
          <w:b/>
          <w:bCs/>
          <w:sz w:val="21"/>
          <w:szCs w:val="21"/>
        </w:rPr>
        <w:t>19、合同其它</w:t>
      </w:r>
    </w:p>
    <w:p w14:paraId="3B51247A">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19.1乙方应诚实信用，严格按照招标文件要求和投标承诺履行合同，不向甲方进行商业贿赂或者提供不正当利益。</w:t>
      </w:r>
    </w:p>
    <w:p w14:paraId="39C889B6">
      <w:pPr>
        <w:pStyle w:val="212"/>
        <w:spacing w:before="120" w:after="120"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19.2合同经双方法定代表人或授权代表签字并加盖单位公章，并经</w:t>
      </w:r>
      <w:r>
        <w:rPr>
          <w:rFonts w:hint="eastAsia" w:ascii="仿宋" w:hAnsi="仿宋" w:eastAsia="仿宋" w:cs="仿宋"/>
          <w:sz w:val="21"/>
          <w:szCs w:val="21"/>
          <w:lang w:val="en-US" w:eastAsia="zh-CN"/>
        </w:rPr>
        <w:t>代理机构</w:t>
      </w:r>
      <w:r>
        <w:rPr>
          <w:rFonts w:hint="eastAsia" w:ascii="仿宋" w:hAnsi="仿宋" w:eastAsia="仿宋" w:cs="仿宋"/>
          <w:sz w:val="21"/>
          <w:szCs w:val="21"/>
        </w:rPr>
        <w:t>见证盖章后生效。</w:t>
      </w:r>
    </w:p>
    <w:p w14:paraId="2C361DCB">
      <w:pPr>
        <w:pStyle w:val="212"/>
        <w:spacing w:before="120" w:after="120"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19.2本合同未尽事宜，遵照《</w:t>
      </w:r>
      <w:r>
        <w:rPr>
          <w:rFonts w:hint="eastAsia" w:ascii="仿宋" w:hAnsi="仿宋" w:eastAsia="仿宋" w:cs="仿宋"/>
          <w:sz w:val="21"/>
          <w:szCs w:val="21"/>
          <w:lang w:eastAsia="zh-CN"/>
        </w:rPr>
        <w:t>民法典</w:t>
      </w:r>
      <w:r>
        <w:rPr>
          <w:rFonts w:hint="eastAsia" w:ascii="仿宋" w:hAnsi="仿宋" w:eastAsia="仿宋" w:cs="仿宋"/>
          <w:sz w:val="21"/>
          <w:szCs w:val="21"/>
        </w:rPr>
        <w:t>》有关条文执行。</w:t>
      </w:r>
    </w:p>
    <w:p w14:paraId="023822FA">
      <w:pPr>
        <w:pStyle w:val="212"/>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19.3本合同正本一式</w:t>
      </w:r>
      <w:r>
        <w:rPr>
          <w:rFonts w:hint="eastAsia" w:ascii="仿宋" w:hAnsi="仿宋" w:eastAsia="仿宋" w:cs="仿宋"/>
          <w:sz w:val="21"/>
          <w:szCs w:val="21"/>
          <w:lang w:val="en-US" w:eastAsia="zh-CN"/>
        </w:rPr>
        <w:t>陆</w:t>
      </w:r>
      <w:r>
        <w:rPr>
          <w:rFonts w:hint="eastAsia" w:ascii="仿宋" w:hAnsi="仿宋" w:eastAsia="仿宋" w:cs="仿宋"/>
          <w:sz w:val="21"/>
          <w:szCs w:val="21"/>
        </w:rPr>
        <w:t>份，具有同等法律效力，甲方、乙方、见证方及财政监管部门（市财政局政府采购管理处）各执一份。</w:t>
      </w:r>
    </w:p>
    <w:tbl>
      <w:tblPr>
        <w:tblStyle w:val="40"/>
        <w:tblW w:w="0" w:type="auto"/>
        <w:jc w:val="center"/>
        <w:tblLayout w:type="fixed"/>
        <w:tblCellMar>
          <w:top w:w="0" w:type="dxa"/>
          <w:left w:w="108" w:type="dxa"/>
          <w:bottom w:w="0" w:type="dxa"/>
          <w:right w:w="108" w:type="dxa"/>
        </w:tblCellMar>
      </w:tblPr>
      <w:tblGrid>
        <w:gridCol w:w="4835"/>
        <w:gridCol w:w="4784"/>
      </w:tblGrid>
      <w:tr w14:paraId="2A9E921B">
        <w:trPr>
          <w:trHeight w:val="629" w:hRule="atLeast"/>
          <w:jc w:val="center"/>
        </w:trPr>
        <w:tc>
          <w:tcPr>
            <w:tcW w:w="4835" w:type="dxa"/>
            <w:tcBorders>
              <w:top w:val="nil"/>
              <w:left w:val="nil"/>
              <w:bottom w:val="nil"/>
              <w:right w:val="nil"/>
            </w:tcBorders>
            <w:noWrap w:val="0"/>
            <w:vAlign w:val="top"/>
          </w:tcPr>
          <w:p w14:paraId="7D969A75">
            <w:pPr>
              <w:pStyle w:val="212"/>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甲方：</w:t>
            </w:r>
          </w:p>
        </w:tc>
        <w:tc>
          <w:tcPr>
            <w:tcW w:w="4784" w:type="dxa"/>
            <w:tcBorders>
              <w:top w:val="nil"/>
              <w:left w:val="nil"/>
              <w:bottom w:val="nil"/>
              <w:right w:val="nil"/>
            </w:tcBorders>
            <w:noWrap w:val="0"/>
            <w:vAlign w:val="top"/>
          </w:tcPr>
          <w:p w14:paraId="41C926D8">
            <w:pPr>
              <w:pStyle w:val="212"/>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乙方：</w:t>
            </w:r>
          </w:p>
        </w:tc>
      </w:tr>
      <w:tr w14:paraId="21EB8D59">
        <w:tblPrEx>
          <w:tblCellMar>
            <w:top w:w="0" w:type="dxa"/>
            <w:left w:w="108" w:type="dxa"/>
            <w:bottom w:w="0" w:type="dxa"/>
            <w:right w:w="108" w:type="dxa"/>
          </w:tblCellMar>
        </w:tblPrEx>
        <w:trPr>
          <w:trHeight w:val="629" w:hRule="atLeast"/>
          <w:jc w:val="center"/>
        </w:trPr>
        <w:tc>
          <w:tcPr>
            <w:tcW w:w="4835" w:type="dxa"/>
            <w:tcBorders>
              <w:top w:val="nil"/>
              <w:left w:val="nil"/>
              <w:bottom w:val="nil"/>
              <w:right w:val="nil"/>
            </w:tcBorders>
            <w:noWrap w:val="0"/>
            <w:vAlign w:val="top"/>
          </w:tcPr>
          <w:p w14:paraId="14F15204">
            <w:pPr>
              <w:pStyle w:val="212"/>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地址：</w:t>
            </w:r>
          </w:p>
        </w:tc>
        <w:tc>
          <w:tcPr>
            <w:tcW w:w="4784" w:type="dxa"/>
            <w:tcBorders>
              <w:top w:val="nil"/>
              <w:left w:val="nil"/>
              <w:bottom w:val="nil"/>
              <w:right w:val="nil"/>
            </w:tcBorders>
            <w:noWrap w:val="0"/>
            <w:vAlign w:val="top"/>
          </w:tcPr>
          <w:p w14:paraId="6FF486A9">
            <w:pPr>
              <w:pStyle w:val="212"/>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地址：</w:t>
            </w:r>
          </w:p>
        </w:tc>
      </w:tr>
      <w:tr w14:paraId="7959BCDB">
        <w:tblPrEx>
          <w:tblCellMar>
            <w:top w:w="0" w:type="dxa"/>
            <w:left w:w="108" w:type="dxa"/>
            <w:bottom w:w="0" w:type="dxa"/>
            <w:right w:w="108" w:type="dxa"/>
          </w:tblCellMar>
        </w:tblPrEx>
        <w:trPr>
          <w:trHeight w:val="629" w:hRule="atLeast"/>
          <w:jc w:val="center"/>
        </w:trPr>
        <w:tc>
          <w:tcPr>
            <w:tcW w:w="4835" w:type="dxa"/>
            <w:tcBorders>
              <w:top w:val="nil"/>
              <w:left w:val="nil"/>
              <w:bottom w:val="nil"/>
              <w:right w:val="nil"/>
            </w:tcBorders>
            <w:noWrap w:val="0"/>
            <w:vAlign w:val="top"/>
          </w:tcPr>
          <w:p w14:paraId="7E0C34EF">
            <w:pPr>
              <w:pStyle w:val="212"/>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法定代表人或授权代表：</w:t>
            </w:r>
          </w:p>
        </w:tc>
        <w:tc>
          <w:tcPr>
            <w:tcW w:w="4784" w:type="dxa"/>
            <w:tcBorders>
              <w:top w:val="nil"/>
              <w:left w:val="nil"/>
              <w:bottom w:val="nil"/>
              <w:right w:val="nil"/>
            </w:tcBorders>
            <w:noWrap w:val="0"/>
            <w:vAlign w:val="top"/>
          </w:tcPr>
          <w:p w14:paraId="3A8D4D69">
            <w:pPr>
              <w:pStyle w:val="212"/>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法定代表人或授权代表：</w:t>
            </w:r>
          </w:p>
        </w:tc>
      </w:tr>
      <w:tr w14:paraId="4B625C0B">
        <w:tblPrEx>
          <w:tblCellMar>
            <w:top w:w="0" w:type="dxa"/>
            <w:left w:w="108" w:type="dxa"/>
            <w:bottom w:w="0" w:type="dxa"/>
            <w:right w:w="108" w:type="dxa"/>
          </w:tblCellMar>
        </w:tblPrEx>
        <w:trPr>
          <w:trHeight w:val="629" w:hRule="atLeast"/>
          <w:jc w:val="center"/>
        </w:trPr>
        <w:tc>
          <w:tcPr>
            <w:tcW w:w="4835" w:type="dxa"/>
            <w:tcBorders>
              <w:top w:val="nil"/>
              <w:left w:val="nil"/>
              <w:bottom w:val="nil"/>
              <w:right w:val="nil"/>
            </w:tcBorders>
            <w:noWrap w:val="0"/>
            <w:vAlign w:val="top"/>
          </w:tcPr>
          <w:p w14:paraId="71529CBB">
            <w:pPr>
              <w:pStyle w:val="212"/>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联系电话：</w:t>
            </w:r>
          </w:p>
        </w:tc>
        <w:tc>
          <w:tcPr>
            <w:tcW w:w="4784" w:type="dxa"/>
            <w:tcBorders>
              <w:top w:val="nil"/>
              <w:left w:val="nil"/>
              <w:bottom w:val="nil"/>
              <w:right w:val="nil"/>
            </w:tcBorders>
            <w:noWrap w:val="0"/>
            <w:vAlign w:val="top"/>
          </w:tcPr>
          <w:p w14:paraId="76B9BB6E">
            <w:pPr>
              <w:pStyle w:val="212"/>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联系电话：</w:t>
            </w:r>
          </w:p>
        </w:tc>
      </w:tr>
      <w:tr w14:paraId="0B38DDF4">
        <w:tblPrEx>
          <w:tblCellMar>
            <w:top w:w="0" w:type="dxa"/>
            <w:left w:w="108" w:type="dxa"/>
            <w:bottom w:w="0" w:type="dxa"/>
            <w:right w:w="108" w:type="dxa"/>
          </w:tblCellMar>
        </w:tblPrEx>
        <w:trPr>
          <w:trHeight w:val="629" w:hRule="atLeast"/>
          <w:jc w:val="center"/>
        </w:trPr>
        <w:tc>
          <w:tcPr>
            <w:tcW w:w="4835" w:type="dxa"/>
            <w:tcBorders>
              <w:top w:val="nil"/>
              <w:left w:val="nil"/>
              <w:bottom w:val="nil"/>
              <w:right w:val="nil"/>
            </w:tcBorders>
            <w:noWrap w:val="0"/>
            <w:vAlign w:val="top"/>
          </w:tcPr>
          <w:p w14:paraId="6ACACF62">
            <w:pPr>
              <w:pStyle w:val="212"/>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日期：</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年</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月</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日</w:t>
            </w:r>
          </w:p>
        </w:tc>
        <w:tc>
          <w:tcPr>
            <w:tcW w:w="4784" w:type="dxa"/>
            <w:tcBorders>
              <w:top w:val="nil"/>
              <w:left w:val="nil"/>
              <w:bottom w:val="nil"/>
              <w:right w:val="nil"/>
            </w:tcBorders>
            <w:noWrap w:val="0"/>
            <w:vAlign w:val="top"/>
          </w:tcPr>
          <w:p w14:paraId="2A9F46EB">
            <w:pPr>
              <w:pStyle w:val="212"/>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日期：</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年</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月</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日</w:t>
            </w:r>
          </w:p>
        </w:tc>
      </w:tr>
    </w:tbl>
    <w:p w14:paraId="4AE82B40">
      <w:pPr>
        <w:pStyle w:val="212"/>
        <w:spacing w:before="120" w:after="120" w:line="360" w:lineRule="auto"/>
        <w:rPr>
          <w:rFonts w:hint="eastAsia" w:ascii="仿宋" w:hAnsi="仿宋" w:eastAsia="仿宋" w:cs="仿宋"/>
          <w:sz w:val="21"/>
          <w:szCs w:val="21"/>
          <w:lang w:eastAsia="zh-CN"/>
        </w:rPr>
      </w:pPr>
    </w:p>
    <w:p w14:paraId="2B1BCEF9">
      <w:pPr>
        <w:pStyle w:val="212"/>
        <w:spacing w:before="120" w:after="120" w:line="360" w:lineRule="auto"/>
        <w:rPr>
          <w:rFonts w:hint="eastAsia" w:ascii="仿宋" w:hAnsi="仿宋" w:eastAsia="仿宋" w:cs="仿宋"/>
          <w:sz w:val="21"/>
          <w:szCs w:val="21"/>
          <w:lang w:val="en-US" w:eastAsia="zh-CN"/>
        </w:rPr>
      </w:pPr>
      <w:r>
        <w:rPr>
          <w:rFonts w:hint="eastAsia" w:ascii="仿宋" w:hAnsi="仿宋" w:eastAsia="仿宋" w:cs="仿宋"/>
          <w:sz w:val="21"/>
          <w:szCs w:val="21"/>
        </w:rPr>
        <w:t>见证方：</w:t>
      </w:r>
    </w:p>
    <w:p w14:paraId="63136653">
      <w:pPr>
        <w:pStyle w:val="212"/>
        <w:spacing w:before="120" w:after="120" w:line="360" w:lineRule="auto"/>
        <w:rPr>
          <w:rFonts w:hint="eastAsia" w:ascii="仿宋" w:hAnsi="仿宋" w:eastAsia="仿宋" w:cs="仿宋"/>
          <w:sz w:val="21"/>
          <w:szCs w:val="21"/>
          <w:lang w:val="en-US" w:eastAsia="zh-CN"/>
        </w:rPr>
      </w:pPr>
      <w:r>
        <w:rPr>
          <w:rFonts w:hint="eastAsia" w:ascii="仿宋" w:hAnsi="仿宋" w:eastAsia="仿宋" w:cs="仿宋"/>
          <w:sz w:val="21"/>
          <w:szCs w:val="21"/>
        </w:rPr>
        <w:t>项目经办人：</w:t>
      </w:r>
    </w:p>
    <w:p w14:paraId="161168FB">
      <w:pPr>
        <w:pStyle w:val="212"/>
        <w:spacing w:before="120" w:after="120" w:line="360" w:lineRule="auto"/>
        <w:jc w:val="center"/>
        <w:rPr>
          <w:rFonts w:hint="eastAsia" w:ascii="仿宋" w:hAnsi="仿宋" w:eastAsia="仿宋" w:cs="仿宋"/>
          <w:color w:val="auto"/>
          <w:sz w:val="32"/>
          <w:szCs w:val="32"/>
        </w:rPr>
      </w:pPr>
      <w:r>
        <w:rPr>
          <w:rFonts w:hint="eastAsia" w:ascii="仿宋" w:hAnsi="仿宋" w:eastAsia="仿宋" w:cs="仿宋"/>
          <w:sz w:val="21"/>
          <w:szCs w:val="21"/>
        </w:rPr>
        <w:t>日期：</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年</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月</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日</w:t>
      </w:r>
      <w:r>
        <w:rPr>
          <w:rFonts w:hint="eastAsia" w:ascii="仿宋" w:hAnsi="仿宋" w:eastAsia="仿宋" w:cs="仿宋"/>
          <w:color w:val="000000"/>
          <w:sz w:val="36"/>
        </w:rPr>
        <w:br w:type="page" w:clear="all"/>
      </w:r>
      <w:bookmarkStart w:id="33" w:name="_Toc109304974"/>
      <w:r>
        <w:rPr>
          <w:rFonts w:hint="eastAsia" w:ascii="仿宋" w:hAnsi="仿宋" w:eastAsia="仿宋" w:cs="仿宋"/>
          <w:color w:val="auto"/>
          <w:sz w:val="32"/>
          <w:szCs w:val="32"/>
        </w:rPr>
        <w:t>第四章</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项目需求</w:t>
      </w:r>
      <w:bookmarkEnd w:id="33"/>
    </w:p>
    <w:p w14:paraId="09A88EF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全面提升城市道路交通信号灯设置和配时规范化、精细化、智能化水平，根据公安部交管局《关于进一步加强城市道路交通信号控制应用工作的指导意见》和省厅《全市城市道路交通信号灯设置和配时优化工作方案》，结合我市实际，制定信号优化配时中心工作方案。</w:t>
      </w:r>
    </w:p>
    <w:p w14:paraId="2288E8BB">
      <w:pPr>
        <w:spacing w:line="360" w:lineRule="auto"/>
        <w:ind w:firstLine="420" w:firstLineChars="200"/>
        <w:rPr>
          <w:rFonts w:hint="eastAsia" w:ascii="仿宋" w:hAnsi="仿宋" w:eastAsia="仿宋" w:cs="仿宋"/>
          <w:sz w:val="21"/>
          <w:szCs w:val="21"/>
          <w:lang w:eastAsia="zh-CN"/>
        </w:rPr>
      </w:pPr>
      <w:bookmarkStart w:id="34" w:name="_Toc65185951"/>
      <w:r>
        <w:rPr>
          <w:rFonts w:hint="eastAsia" w:ascii="仿宋" w:hAnsi="仿宋" w:eastAsia="仿宋" w:cs="仿宋"/>
          <w:sz w:val="21"/>
          <w:szCs w:val="21"/>
          <w:lang w:eastAsia="zh-CN"/>
        </w:rPr>
        <w:t>一、指导思想</w:t>
      </w:r>
      <w:bookmarkEnd w:id="34"/>
    </w:p>
    <w:p w14:paraId="794B252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进一步规范设置城市道路交通信号灯，主动应用大数据、云计算、智能交通等新思维、新技术创新交通信号优化控制，着力建设专业技术团队，逐步实现城市道路交通信号灯统一管理、精细控制和专业保障，大力推进城市交通治理能力现代化，不断提升交通信号控制应用精细化智能化水平，把高邮建设成为走在全省前列，创造安全畅通、文明和谐的道路交通环境。</w:t>
      </w:r>
    </w:p>
    <w:p w14:paraId="4229C764">
      <w:pPr>
        <w:spacing w:line="360" w:lineRule="auto"/>
        <w:ind w:firstLine="420" w:firstLineChars="200"/>
        <w:rPr>
          <w:rFonts w:hint="eastAsia" w:ascii="仿宋" w:hAnsi="仿宋" w:eastAsia="仿宋" w:cs="仿宋"/>
          <w:sz w:val="21"/>
          <w:szCs w:val="21"/>
        </w:rPr>
      </w:pPr>
      <w:bookmarkStart w:id="35" w:name="_Toc65185952"/>
      <w:r>
        <w:rPr>
          <w:rFonts w:hint="eastAsia" w:ascii="仿宋" w:hAnsi="仿宋" w:eastAsia="仿宋" w:cs="仿宋"/>
          <w:sz w:val="21"/>
          <w:szCs w:val="21"/>
        </w:rPr>
        <w:t>二、工作目标</w:t>
      </w:r>
      <w:bookmarkEnd w:id="35"/>
    </w:p>
    <w:p w14:paraId="29747A6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坚持“建管并重、注重实效”、“适应需求、精细控制”和“规范管理、专业运维”等原则，常态化开展城市道路交通信号灯规范设置和配时优化工作，建立健全信号灯优化配时中心，力争通过三年时间，即在2028年末，实现以下目标：</w:t>
      </w:r>
    </w:p>
    <w:p w14:paraId="0FDDA3C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lang w:eastAsia="zh-CN"/>
        </w:rPr>
        <w:t>（</w:t>
      </w:r>
      <w:r>
        <w:rPr>
          <w:rFonts w:hint="eastAsia" w:ascii="仿宋" w:hAnsi="仿宋" w:eastAsia="仿宋" w:cs="仿宋"/>
          <w:sz w:val="21"/>
          <w:szCs w:val="21"/>
        </w:rPr>
        <w:t>一）交通信号灯建设管理维护机制更加健全完善。全市建立规范的道路交通信号灯建管维一体化工作制度，所有道路交通信号灯建立电子台帐，实现基于GIS/PGIS系统的可视化数据管理，定期巡检和故障响应机制更加完善。</w:t>
      </w:r>
    </w:p>
    <w:p w14:paraId="7F2C4FD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（二）交通信号控制设施建设更加规范标准。道路交通信号灯规范设置率100%，全面消除复合灯、滥用方向指示灯和相位冲突等问题；双向六车道以上道路平面交叉口逐步实现全车型多相位控制。 </w:t>
      </w:r>
    </w:p>
    <w:p w14:paraId="68F737F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三）交通信号配时应用更加科学精细。城市道路交通信号灯全部实现多时段信号配时方案，中心城区主-主、主-次干路交叉口全天配时方案不少于5组，景区商圈周边和进出城交叉口设置合理设置假日特殊方案，城市主干路信号灯平峰时段干线协调控制率达90%以上。</w:t>
      </w:r>
    </w:p>
    <w:p w14:paraId="7B55BCE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 （四）交通信号控制系统更加智能高效。中心城区信号灯联网控制率达100%，主次干路邻近交叉口协调控制应用覆盖率达100%，交通运行相对独立干路交叉口自适应控制应用覆盖率100%。</w:t>
      </w:r>
    </w:p>
    <w:p w14:paraId="389455A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（五）交通信号管理队伍更加专业有力。设区市和有条件的县（市、区）依托第三方专业技术团队，成立信号配时优化控制中心，实体化运作，常态化开展信号灯设置和配时优化工作。</w:t>
      </w:r>
    </w:p>
    <w:p w14:paraId="248ACF54">
      <w:pPr>
        <w:spacing w:line="360" w:lineRule="auto"/>
        <w:ind w:firstLine="420" w:firstLineChars="200"/>
        <w:rPr>
          <w:rFonts w:hint="eastAsia" w:ascii="仿宋" w:hAnsi="仿宋" w:eastAsia="仿宋" w:cs="仿宋"/>
          <w:sz w:val="21"/>
          <w:szCs w:val="21"/>
          <w:lang w:eastAsia="zh-CN"/>
        </w:rPr>
      </w:pPr>
      <w:bookmarkStart w:id="36" w:name="_Toc65185953"/>
      <w:r>
        <w:rPr>
          <w:rFonts w:hint="eastAsia" w:ascii="仿宋" w:hAnsi="仿宋" w:eastAsia="仿宋" w:cs="仿宋"/>
          <w:sz w:val="21"/>
          <w:szCs w:val="21"/>
          <w:lang w:eastAsia="zh-CN"/>
        </w:rPr>
        <w:t>三、存在问题</w:t>
      </w:r>
      <w:bookmarkEnd w:id="36"/>
    </w:p>
    <w:p w14:paraId="1B0F18C7">
      <w:pPr>
        <w:spacing w:line="360" w:lineRule="auto"/>
        <w:ind w:firstLine="420" w:firstLineChars="200"/>
        <w:rPr>
          <w:rFonts w:hint="eastAsia" w:ascii="仿宋" w:hAnsi="仿宋" w:eastAsia="仿宋" w:cs="仿宋"/>
          <w:sz w:val="21"/>
          <w:szCs w:val="21"/>
        </w:rPr>
      </w:pPr>
      <w:bookmarkStart w:id="37" w:name="_Toc46423105"/>
      <w:r>
        <w:rPr>
          <w:rFonts w:hint="eastAsia" w:ascii="仿宋" w:hAnsi="仿宋" w:eastAsia="仿宋" w:cs="仿宋"/>
          <w:sz w:val="21"/>
          <w:szCs w:val="21"/>
        </w:rPr>
        <w:t>（一）组织统一性不足</w:t>
      </w:r>
      <w:bookmarkEnd w:id="37"/>
    </w:p>
    <w:p w14:paraId="4A1B64C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当前，交通信号优化配时工作的过程，缺乏统一机构、整体统筹。一般交通治堵的工作，往往是综合的管控，涉及到交管部门的多个方面，因此，需要建立统一的组织架构，促进综合治堵工作业务衔接顺畅；组织统一是指信号优化配时控制全部由一个信号中心组织完成，除一些特殊控制之外，如紧急控制或系统控制等。整体统筹指信号系统所有的控制由信号优化配时中心分配和管理。</w:t>
      </w:r>
    </w:p>
    <w:p w14:paraId="387D8D05">
      <w:pPr>
        <w:spacing w:line="360" w:lineRule="auto"/>
        <w:ind w:firstLine="420" w:firstLineChars="200"/>
        <w:rPr>
          <w:rFonts w:hint="eastAsia" w:ascii="仿宋" w:hAnsi="仿宋" w:eastAsia="仿宋" w:cs="仿宋"/>
          <w:sz w:val="21"/>
          <w:szCs w:val="21"/>
        </w:rPr>
      </w:pPr>
      <w:bookmarkStart w:id="38" w:name="_Toc46423106"/>
      <w:r>
        <w:rPr>
          <w:rFonts w:hint="eastAsia" w:ascii="仿宋" w:hAnsi="仿宋" w:eastAsia="仿宋" w:cs="仿宋"/>
          <w:sz w:val="21"/>
          <w:szCs w:val="21"/>
        </w:rPr>
        <w:t>（二）配时优化工作缺乏整体性</w:t>
      </w:r>
      <w:bookmarkEnd w:id="38"/>
    </w:p>
    <w:p w14:paraId="37845F5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目前，日常的交通信号优化配时优化工作相对单一，缺乏对于整体流程如预判、评价、成果展示、知识积累等环节，导致应用效果不佳；需要建立一套完整的系统性解决方案（建立体系，配套软硬件，组建服务团队，开展各项业务），整体性提升交通治堵管理水平。</w:t>
      </w:r>
    </w:p>
    <w:p w14:paraId="3CACA839">
      <w:pPr>
        <w:spacing w:line="360" w:lineRule="auto"/>
        <w:ind w:firstLine="420" w:firstLineChars="200"/>
        <w:rPr>
          <w:rFonts w:hint="eastAsia" w:ascii="仿宋" w:hAnsi="仿宋" w:eastAsia="仿宋" w:cs="仿宋"/>
          <w:sz w:val="21"/>
          <w:szCs w:val="21"/>
        </w:rPr>
      </w:pPr>
      <w:bookmarkStart w:id="39" w:name="_Toc46423107"/>
      <w:r>
        <w:rPr>
          <w:rFonts w:hint="eastAsia" w:ascii="仿宋" w:hAnsi="仿宋" w:eastAsia="仿宋" w:cs="仿宋"/>
          <w:sz w:val="21"/>
          <w:szCs w:val="21"/>
        </w:rPr>
        <w:t>（三）数据来源针对性不强</w:t>
      </w:r>
      <w:bookmarkEnd w:id="39"/>
    </w:p>
    <w:p w14:paraId="7172C1D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目前，交通信号优化配时所依据的数据来源来自于现有交通流采集系统，如线圈、视频检测、雷达等，然而，此类数据在交通信号优化配时工作中，由于缺乏实时性、针对性的数据来源，制定的控制策略会存在一定误差，需要人工补充调研数据。</w:t>
      </w:r>
    </w:p>
    <w:p w14:paraId="56E6DA1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针对数据支撑平台，可以充分利用各类交通监测数据和互联网出行数据，分析道路条件和交通流特征和变化趋势，针对易拥堵重点区域，深入诊断和分析，找准问题和短板，合理确定不同时期、不同时段信号控制原则和优化目标。</w:t>
      </w:r>
    </w:p>
    <w:p w14:paraId="4DE33C61">
      <w:pPr>
        <w:spacing w:line="360" w:lineRule="auto"/>
        <w:ind w:firstLine="420" w:firstLineChars="200"/>
        <w:rPr>
          <w:rFonts w:hint="eastAsia" w:ascii="仿宋" w:hAnsi="仿宋" w:eastAsia="仿宋" w:cs="仿宋"/>
          <w:sz w:val="21"/>
          <w:szCs w:val="21"/>
        </w:rPr>
      </w:pPr>
      <w:bookmarkStart w:id="40" w:name="_Toc46423108"/>
      <w:r>
        <w:rPr>
          <w:rFonts w:hint="eastAsia" w:ascii="仿宋" w:hAnsi="仿宋" w:eastAsia="仿宋" w:cs="仿宋"/>
          <w:sz w:val="21"/>
          <w:szCs w:val="21"/>
        </w:rPr>
        <w:t>（四）跟踪实时性不足</w:t>
      </w:r>
      <w:bookmarkEnd w:id="40"/>
    </w:p>
    <w:p w14:paraId="2B72F13A">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目前，交通信号优化配时工作缺乏对交通运行情况实时性分析，往往无法做到及时疏解拥堵，或者及时发现交通突发情况。配置实时性交通运行分析平台，可及时发现、预判信号优化配时不合理、交通拥堵等情况，要立即协调处置并迅速恢复正常，确保交通安全、有序。</w:t>
      </w:r>
    </w:p>
    <w:p w14:paraId="11D5CB8D">
      <w:pPr>
        <w:spacing w:line="360" w:lineRule="auto"/>
        <w:ind w:firstLine="420" w:firstLineChars="200"/>
        <w:rPr>
          <w:rFonts w:hint="eastAsia" w:ascii="仿宋" w:hAnsi="仿宋" w:eastAsia="仿宋" w:cs="仿宋"/>
          <w:sz w:val="21"/>
          <w:szCs w:val="21"/>
        </w:rPr>
      </w:pPr>
      <w:bookmarkStart w:id="41" w:name="_Toc46423109"/>
      <w:r>
        <w:rPr>
          <w:rFonts w:hint="eastAsia" w:ascii="仿宋" w:hAnsi="仿宋" w:eastAsia="仿宋" w:cs="仿宋"/>
          <w:sz w:val="21"/>
          <w:szCs w:val="21"/>
        </w:rPr>
        <w:t>（五）方案效果缺少预判</w:t>
      </w:r>
      <w:bookmarkEnd w:id="41"/>
    </w:p>
    <w:p w14:paraId="5DB0657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目前，服务团队设计方案后即进行方案下发，缺少对方案下发后效果的预判，容易造成方案不完全合适带来的交通拥堵情况。</w:t>
      </w:r>
    </w:p>
    <w:p w14:paraId="139895D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没有利用仿真软件对涉及路口数量较多、改变动作较大的路口方案进行仿真评价，对方案实施效果的预测，通过对多个改善方案进行仿真验证以选出最佳方案，可以提前预判方案实施效果，保证方案下发的合理性。</w:t>
      </w:r>
    </w:p>
    <w:p w14:paraId="0225437F">
      <w:pPr>
        <w:spacing w:line="360" w:lineRule="auto"/>
        <w:ind w:firstLine="420" w:firstLineChars="200"/>
        <w:rPr>
          <w:rFonts w:hint="eastAsia" w:ascii="仿宋" w:hAnsi="仿宋" w:eastAsia="仿宋" w:cs="仿宋"/>
          <w:sz w:val="21"/>
          <w:szCs w:val="21"/>
        </w:rPr>
      </w:pPr>
      <w:bookmarkStart w:id="42" w:name="_Toc46423110"/>
      <w:r>
        <w:rPr>
          <w:rFonts w:hint="eastAsia" w:ascii="仿宋" w:hAnsi="仿宋" w:eastAsia="仿宋" w:cs="仿宋"/>
          <w:sz w:val="21"/>
          <w:szCs w:val="21"/>
        </w:rPr>
        <w:t>（六）实施效果评价缺失</w:t>
      </w:r>
      <w:bookmarkEnd w:id="42"/>
    </w:p>
    <w:p w14:paraId="439C29E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目前，交通信号优化配时工作缺乏效果评价，往往导致配时工作失去质量控制，无法保证稳定、有效的交通治堵保障。</w:t>
      </w:r>
    </w:p>
    <w:p w14:paraId="52209CC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需要落实成果评价环节，对配时中心服务内容、执行过程、效益、作用和影响进行系统的、客观的分析和总结，保持对预期目标、效益指标精益求精；及时有效反馈信息，提高中心管理水平；从而保证配时中心各项工作开展的质量。</w:t>
      </w:r>
    </w:p>
    <w:p w14:paraId="3EF1155C">
      <w:pPr>
        <w:spacing w:line="360" w:lineRule="auto"/>
        <w:ind w:firstLine="420" w:firstLineChars="200"/>
        <w:rPr>
          <w:rFonts w:hint="eastAsia" w:ascii="仿宋" w:hAnsi="仿宋" w:eastAsia="仿宋" w:cs="仿宋"/>
          <w:sz w:val="21"/>
          <w:szCs w:val="21"/>
          <w:lang w:eastAsia="zh-CN"/>
        </w:rPr>
      </w:pPr>
      <w:bookmarkStart w:id="43" w:name="_Toc65185954"/>
      <w:r>
        <w:rPr>
          <w:rFonts w:hint="eastAsia" w:ascii="仿宋" w:hAnsi="仿宋" w:eastAsia="仿宋" w:cs="仿宋"/>
          <w:sz w:val="21"/>
          <w:szCs w:val="21"/>
          <w:lang w:eastAsia="zh-CN"/>
        </w:rPr>
        <w:t>四、总体思路</w:t>
      </w:r>
      <w:bookmarkEnd w:id="43"/>
    </w:p>
    <w:p w14:paraId="527FD16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传统信号优化配时管理模式的困境促使我们思考探索管理新思路——建立以信号优化配时服务驱动的信号优化配时中心。</w:t>
      </w:r>
    </w:p>
    <w:p w14:paraId="1EAE04C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交通信号优化配时中心是城市交通信号优化配时的核心组织机构，是整个工作的大脑与心脏，对信号优化配时各项子业务进行统一、集中、协调、智能地管理、决策、调度与控制。</w:t>
      </w:r>
    </w:p>
    <w:p w14:paraId="7A7139F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建立健全交通信号优化配时中心运行工作流程、常态化值班、考核评价等管理制度，并与指挥中心、秩序管理等部门加强协调配合，形成内部工作合力。负责道路交通信号控制方案制定、状态监测、优化调整和效果评估，制定大型活动、重大节日、特勤任务等交通信号调整方案预案，组织技术研究和系统升级，跟踪运维进展，开展舆情处置，协调指导区（县）大队信号控制维护调优等工作。</w:t>
      </w:r>
    </w:p>
    <w:p w14:paraId="1B9C5BB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*发现问题</w:t>
      </w:r>
    </w:p>
    <w:p w14:paraId="7439492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主动发现区域内的动、静态问题，例如：道路拥堵、交通事故、信号优化配时不合理、路口基础设施设置不合理、区域交通组织不合理、安全隐患等问题。</w:t>
      </w:r>
    </w:p>
    <w:p w14:paraId="3E05E4C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*解决问题</w:t>
      </w:r>
    </w:p>
    <w:p w14:paraId="060A629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目的是解决路口或者路段常态化的交通拥堵、短时交通流激增引起的拥堵、临时管控、临时的专业会务、事务性的问题回复（建立回复模版）等问题。</w:t>
      </w:r>
    </w:p>
    <w:p w14:paraId="4C7C309A">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*评价结果</w:t>
      </w:r>
    </w:p>
    <w:p w14:paraId="53D6B62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聘请高校或者公安部交通管理科学研究所等机构按照标准进行评测；利用互联网公司和原有交通采集系统的数据联合评测。</w:t>
      </w:r>
    </w:p>
    <w:p w14:paraId="744FED9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*成果展示</w:t>
      </w:r>
    </w:p>
    <w:p w14:paraId="602B759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配时中心的成果展示，同时积极策划宣传亮点及对成果进行多媒体科普宣传，增强公众参与度，营造良好的信号优化配时舆论氛围。</w:t>
      </w:r>
    </w:p>
    <w:p w14:paraId="1731318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*知识积累</w:t>
      </w:r>
    </w:p>
    <w:p w14:paraId="3864A27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专业的团队负责知识的积累、案例的收集以及成果提炼申请专利等，成果积累后反哺、提高主动发现问题的速度或者解决问题的准确性。</w:t>
      </w:r>
    </w:p>
    <w:p w14:paraId="35AE63A1">
      <w:pPr>
        <w:spacing w:line="360" w:lineRule="auto"/>
        <w:ind w:firstLine="420" w:firstLineChars="200"/>
        <w:rPr>
          <w:rFonts w:hint="eastAsia" w:ascii="仿宋" w:hAnsi="仿宋" w:eastAsia="仿宋" w:cs="仿宋"/>
          <w:sz w:val="21"/>
          <w:szCs w:val="21"/>
        </w:rPr>
      </w:pPr>
      <w:bookmarkStart w:id="44" w:name="_Toc46423124"/>
      <w:r>
        <w:rPr>
          <w:rFonts w:hint="eastAsia" w:ascii="仿宋" w:hAnsi="仿宋" w:eastAsia="仿宋" w:cs="仿宋"/>
          <w:sz w:val="21"/>
          <w:szCs w:val="21"/>
        </w:rPr>
        <w:t>*一个中心</w:t>
      </w:r>
      <w:bookmarkEnd w:id="44"/>
    </w:p>
    <w:p w14:paraId="5A8D4F9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智能交通信号优化配时中心是交通信号优化配时的核心，是整个工作的大脑与心脏，对信号优化配时各项子业务进行统一、集中、协调、智能地管理、决策、调度与控制。</w:t>
      </w:r>
    </w:p>
    <w:p w14:paraId="0100DFC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建立智能交通信号优化配时中心，通过中心完善的制度、完整的链式业务、基础设施、多个支撑平台，对城市交通数据的采集，将数据进行加工处理，找到城市交通问题，为城市交通把脉，并进行相关的调整优化。</w:t>
      </w:r>
    </w:p>
    <w:p w14:paraId="16A1DACA">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智能交通信号优化配时中心需要配备大屏幕显示系统、配时坐席、配时专用终端等配套设施。智能交通信号优化配时中心建成后，将是高邮市交通信号优化配时工作进行区域内交通实时监控及日常交通管理的重要场所。</w:t>
      </w:r>
    </w:p>
    <w:p w14:paraId="78D90C92">
      <w:pPr>
        <w:spacing w:line="360" w:lineRule="auto"/>
        <w:ind w:left="480" w:firstLine="210" w:firstLineChars="100"/>
        <w:rPr>
          <w:rFonts w:hint="eastAsia" w:ascii="仿宋" w:hAnsi="仿宋" w:eastAsia="仿宋" w:cs="仿宋"/>
          <w:sz w:val="24"/>
          <w:szCs w:val="24"/>
        </w:rPr>
      </w:pPr>
      <w:r>
        <w:rPr>
          <w:rFonts w:hint="eastAsia" w:ascii="仿宋" w:hAnsi="仿宋" w:eastAsia="仿宋" w:cs="仿宋"/>
          <w:sz w:val="21"/>
          <w:szCs w:val="21"/>
        </w:rPr>
        <w:t>配时中心运维服务清单：</w:t>
      </w:r>
    </w:p>
    <w:tbl>
      <w:tblPr>
        <w:tblStyle w:val="40"/>
        <w:tblW w:w="9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1119"/>
        <w:gridCol w:w="1821"/>
        <w:gridCol w:w="4654"/>
        <w:gridCol w:w="850"/>
        <w:gridCol w:w="709"/>
      </w:tblGrid>
      <w:tr w14:paraId="6DBD8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43AEF2F6">
            <w:pPr>
              <w:widowControl/>
              <w:spacing w:line="240" w:lineRule="auto"/>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序号</w:t>
            </w:r>
          </w:p>
        </w:tc>
        <w:tc>
          <w:tcPr>
            <w:tcW w:w="1119" w:type="dxa"/>
            <w:shd w:val="clear" w:color="000000" w:fill="FFFFFF"/>
            <w:vAlign w:val="center"/>
          </w:tcPr>
          <w:p w14:paraId="42C9CC46">
            <w:pPr>
              <w:widowControl/>
              <w:spacing w:line="240" w:lineRule="auto"/>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名称</w:t>
            </w:r>
          </w:p>
        </w:tc>
        <w:tc>
          <w:tcPr>
            <w:tcW w:w="1821" w:type="dxa"/>
            <w:shd w:val="clear" w:color="000000" w:fill="FFFFFF"/>
            <w:vAlign w:val="center"/>
          </w:tcPr>
          <w:p w14:paraId="7DC55A89">
            <w:pPr>
              <w:widowControl/>
              <w:spacing w:line="240" w:lineRule="auto"/>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项目</w:t>
            </w:r>
          </w:p>
        </w:tc>
        <w:tc>
          <w:tcPr>
            <w:tcW w:w="4654" w:type="dxa"/>
            <w:shd w:val="clear" w:color="000000" w:fill="FFFFFF"/>
            <w:vAlign w:val="center"/>
          </w:tcPr>
          <w:p w14:paraId="7729A65B">
            <w:pPr>
              <w:widowControl/>
              <w:spacing w:line="240" w:lineRule="auto"/>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项目说明</w:t>
            </w:r>
          </w:p>
        </w:tc>
        <w:tc>
          <w:tcPr>
            <w:tcW w:w="850" w:type="dxa"/>
            <w:shd w:val="clear" w:color="000000" w:fill="FFFFFF"/>
            <w:vAlign w:val="center"/>
          </w:tcPr>
          <w:p w14:paraId="0E8853D5">
            <w:pPr>
              <w:widowControl/>
              <w:spacing w:line="240" w:lineRule="auto"/>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路口</w:t>
            </w:r>
          </w:p>
          <w:p w14:paraId="00BE4673">
            <w:pPr>
              <w:widowControl/>
              <w:spacing w:line="240" w:lineRule="auto"/>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数量</w:t>
            </w:r>
          </w:p>
        </w:tc>
        <w:tc>
          <w:tcPr>
            <w:tcW w:w="709" w:type="dxa"/>
            <w:shd w:val="clear" w:color="000000" w:fill="FFFFFF"/>
            <w:vAlign w:val="center"/>
          </w:tcPr>
          <w:p w14:paraId="53E3D518">
            <w:pPr>
              <w:widowControl/>
              <w:spacing w:line="240" w:lineRule="auto"/>
              <w:jc w:val="center"/>
              <w:rPr>
                <w:rFonts w:hint="eastAsia" w:ascii="仿宋" w:hAnsi="仿宋" w:eastAsia="仿宋" w:cs="仿宋"/>
                <w:b/>
                <w:bCs/>
                <w:kern w:val="0"/>
                <w:sz w:val="21"/>
                <w:szCs w:val="21"/>
              </w:rPr>
            </w:pPr>
            <w:r>
              <w:rPr>
                <w:rFonts w:hint="eastAsia" w:ascii="仿宋" w:hAnsi="仿宋" w:eastAsia="仿宋" w:cs="仿宋"/>
                <w:b/>
                <w:bCs/>
                <w:kern w:val="0"/>
                <w:sz w:val="21"/>
                <w:szCs w:val="21"/>
              </w:rPr>
              <w:t>年限</w:t>
            </w:r>
          </w:p>
        </w:tc>
      </w:tr>
      <w:tr w14:paraId="4138E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305141D7">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w:t>
            </w:r>
          </w:p>
        </w:tc>
        <w:tc>
          <w:tcPr>
            <w:tcW w:w="1119" w:type="dxa"/>
            <w:vMerge w:val="restart"/>
            <w:shd w:val="clear" w:color="000000" w:fill="FFFFFF"/>
            <w:vAlign w:val="center"/>
          </w:tcPr>
          <w:p w14:paraId="71F3E958">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信号优化</w:t>
            </w:r>
          </w:p>
          <w:p w14:paraId="48D814A8">
            <w:pPr>
              <w:widowControl/>
              <w:spacing w:line="240" w:lineRule="auto"/>
              <w:jc w:val="center"/>
              <w:rPr>
                <w:rFonts w:hint="eastAsia" w:ascii="仿宋" w:hAnsi="仿宋" w:eastAsia="仿宋" w:cs="仿宋"/>
                <w:b/>
                <w:bCs/>
                <w:kern w:val="0"/>
                <w:sz w:val="21"/>
                <w:szCs w:val="21"/>
              </w:rPr>
            </w:pPr>
            <w:r>
              <w:rPr>
                <w:rFonts w:hint="eastAsia" w:ascii="仿宋" w:hAnsi="仿宋" w:eastAsia="仿宋" w:cs="仿宋"/>
                <w:color w:val="000000"/>
                <w:kern w:val="0"/>
                <w:sz w:val="21"/>
                <w:szCs w:val="21"/>
              </w:rPr>
              <w:t>（80分）</w:t>
            </w:r>
          </w:p>
        </w:tc>
        <w:tc>
          <w:tcPr>
            <w:tcW w:w="1821" w:type="dxa"/>
            <w:shd w:val="clear" w:color="000000" w:fill="FFFFFF"/>
            <w:vAlign w:val="center"/>
          </w:tcPr>
          <w:p w14:paraId="5793D13A">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日常指挥中心值班（明确2人，交替常驻1人）</w:t>
            </w:r>
          </w:p>
        </w:tc>
        <w:tc>
          <w:tcPr>
            <w:tcW w:w="4654" w:type="dxa"/>
            <w:shd w:val="clear" w:color="000000" w:fill="FFFFFF"/>
            <w:vAlign w:val="center"/>
          </w:tcPr>
          <w:p w14:paraId="1F06E9D5">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实施优化的路口/路段，进行早晚高的后续跟踪；</w:t>
            </w:r>
          </w:p>
          <w:p w14:paraId="78C60126">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交通黑点和交通拥堵点，及时把控早晚高峰道路情况，进行疏导优化；</w:t>
            </w:r>
          </w:p>
          <w:p w14:paraId="2374A23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指挥大厅和大队常调控/常锁的路口，找出存在优化空间的路口进行优化，因道路条件等确实无法优化的，提出调控的指导思路，或者通过设置预案以减少人为操控的随意性。</w:t>
            </w:r>
          </w:p>
          <w:p w14:paraId="23C7E568">
            <w:pPr>
              <w:widowControl/>
              <w:spacing w:line="240" w:lineRule="auto"/>
              <w:jc w:val="left"/>
              <w:rPr>
                <w:rFonts w:hint="eastAsia" w:ascii="仿宋" w:hAnsi="仿宋" w:eastAsia="仿宋" w:cs="仿宋"/>
                <w:b/>
                <w:bCs/>
                <w:kern w:val="0"/>
                <w:sz w:val="21"/>
                <w:szCs w:val="21"/>
              </w:rPr>
            </w:pPr>
            <w:r>
              <w:rPr>
                <w:rFonts w:hint="eastAsia" w:ascii="仿宋" w:hAnsi="仿宋" w:eastAsia="仿宋" w:cs="仿宋"/>
                <w:color w:val="000000"/>
                <w:kern w:val="0"/>
                <w:sz w:val="21"/>
                <w:szCs w:val="21"/>
              </w:rPr>
              <w:t>全市396个信号灯电子台账创建</w:t>
            </w:r>
          </w:p>
        </w:tc>
        <w:tc>
          <w:tcPr>
            <w:tcW w:w="850" w:type="dxa"/>
            <w:shd w:val="clear" w:color="000000" w:fill="FFFFFF"/>
            <w:vAlign w:val="center"/>
          </w:tcPr>
          <w:p w14:paraId="3D8E0011">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18265139">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67A7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4995DA9B">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2</w:t>
            </w:r>
          </w:p>
        </w:tc>
        <w:tc>
          <w:tcPr>
            <w:tcW w:w="1119" w:type="dxa"/>
            <w:vMerge w:val="continue"/>
            <w:shd w:val="clear" w:color="000000" w:fill="FFFFFF"/>
            <w:vAlign w:val="center"/>
          </w:tcPr>
          <w:p w14:paraId="37A23570">
            <w:pPr>
              <w:widowControl/>
              <w:spacing w:line="240" w:lineRule="auto"/>
              <w:jc w:val="center"/>
              <w:rPr>
                <w:rFonts w:hint="eastAsia" w:ascii="仿宋" w:hAnsi="仿宋" w:eastAsia="仿宋" w:cs="仿宋"/>
                <w:b/>
                <w:bCs/>
                <w:kern w:val="0"/>
                <w:sz w:val="21"/>
                <w:szCs w:val="21"/>
              </w:rPr>
            </w:pPr>
          </w:p>
        </w:tc>
        <w:tc>
          <w:tcPr>
            <w:tcW w:w="1821" w:type="dxa"/>
            <w:shd w:val="clear" w:color="000000" w:fill="FFFFFF"/>
            <w:vAlign w:val="center"/>
          </w:tcPr>
          <w:p w14:paraId="579ABA81">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法定节假日值班</w:t>
            </w:r>
          </w:p>
        </w:tc>
        <w:tc>
          <w:tcPr>
            <w:tcW w:w="4654" w:type="dxa"/>
            <w:shd w:val="clear" w:color="000000" w:fill="FFFFFF"/>
            <w:vAlign w:val="center"/>
          </w:tcPr>
          <w:p w14:paraId="6A8898C0">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制定节假日城区关键节点路口（关键节点路口由大队按需确认）的信号控制预案库，每年根据往年控制方案和预测流量进行方案调整和优化</w:t>
            </w:r>
          </w:p>
        </w:tc>
        <w:tc>
          <w:tcPr>
            <w:tcW w:w="850" w:type="dxa"/>
            <w:shd w:val="clear" w:color="000000" w:fill="FFFFFF"/>
            <w:vAlign w:val="center"/>
          </w:tcPr>
          <w:p w14:paraId="036CEB20">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34D6D321">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54E85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282922D8">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w:t>
            </w:r>
          </w:p>
        </w:tc>
        <w:tc>
          <w:tcPr>
            <w:tcW w:w="1119" w:type="dxa"/>
            <w:vMerge w:val="continue"/>
            <w:shd w:val="clear" w:color="000000" w:fill="FFFFFF"/>
            <w:vAlign w:val="center"/>
          </w:tcPr>
          <w:p w14:paraId="544B9791">
            <w:pPr>
              <w:widowControl/>
              <w:spacing w:line="240" w:lineRule="auto"/>
              <w:jc w:val="center"/>
              <w:rPr>
                <w:rFonts w:hint="eastAsia" w:ascii="仿宋" w:hAnsi="仿宋" w:eastAsia="仿宋" w:cs="仿宋"/>
                <w:b/>
                <w:bCs/>
                <w:kern w:val="0"/>
                <w:sz w:val="21"/>
                <w:szCs w:val="21"/>
              </w:rPr>
            </w:pPr>
          </w:p>
        </w:tc>
        <w:tc>
          <w:tcPr>
            <w:tcW w:w="1821" w:type="dxa"/>
            <w:shd w:val="clear" w:color="000000" w:fill="FFFFFF"/>
            <w:vAlign w:val="center"/>
          </w:tcPr>
          <w:p w14:paraId="7E07E995">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单点路口信号控制方案设计</w:t>
            </w:r>
          </w:p>
        </w:tc>
        <w:tc>
          <w:tcPr>
            <w:tcW w:w="4654" w:type="dxa"/>
            <w:shd w:val="clear" w:color="000000" w:fill="FFFFFF"/>
            <w:vAlign w:val="center"/>
          </w:tcPr>
          <w:p w14:paraId="396DA908">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对单个路口路口，不存在与其它路口协调控制关系，进行多时段控制方案设计。</w:t>
            </w:r>
          </w:p>
        </w:tc>
        <w:tc>
          <w:tcPr>
            <w:tcW w:w="850" w:type="dxa"/>
            <w:shd w:val="clear" w:color="000000" w:fill="FFFFFF"/>
            <w:vAlign w:val="center"/>
          </w:tcPr>
          <w:p w14:paraId="0FBA6ED7">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5C63A698">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39C3E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5" w:hRule="atLeast"/>
          <w:jc w:val="center"/>
        </w:trPr>
        <w:tc>
          <w:tcPr>
            <w:tcW w:w="541" w:type="dxa"/>
            <w:shd w:val="clear" w:color="000000" w:fill="FFFFFF"/>
            <w:vAlign w:val="center"/>
          </w:tcPr>
          <w:p w14:paraId="501A8158">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4</w:t>
            </w:r>
          </w:p>
        </w:tc>
        <w:tc>
          <w:tcPr>
            <w:tcW w:w="1119" w:type="dxa"/>
            <w:vMerge w:val="continue"/>
            <w:shd w:val="clear" w:color="000000" w:fill="FFFFFF"/>
            <w:vAlign w:val="center"/>
          </w:tcPr>
          <w:p w14:paraId="79C851E9">
            <w:pPr>
              <w:widowControl/>
              <w:spacing w:line="240" w:lineRule="auto"/>
              <w:jc w:val="center"/>
              <w:rPr>
                <w:rFonts w:hint="eastAsia" w:ascii="仿宋" w:hAnsi="仿宋" w:eastAsia="仿宋" w:cs="仿宋"/>
                <w:b/>
                <w:bCs/>
                <w:kern w:val="0"/>
                <w:sz w:val="21"/>
                <w:szCs w:val="21"/>
              </w:rPr>
            </w:pPr>
          </w:p>
        </w:tc>
        <w:tc>
          <w:tcPr>
            <w:tcW w:w="1821" w:type="dxa"/>
            <w:shd w:val="clear" w:color="000000" w:fill="FFFFFF"/>
            <w:vAlign w:val="center"/>
          </w:tcPr>
          <w:p w14:paraId="58C761AB">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交通信号协调控制方案设计</w:t>
            </w:r>
          </w:p>
        </w:tc>
        <w:tc>
          <w:tcPr>
            <w:tcW w:w="4654" w:type="dxa"/>
            <w:shd w:val="clear" w:color="000000" w:fill="FFFFFF"/>
            <w:vAlign w:val="center"/>
          </w:tcPr>
          <w:p w14:paraId="0F6C8AA8">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协调控制优化包括路段绿波带协调控制和路段与周边区域路口协同控制方案设计，主要是通过对区域范围内调整路口运行相位相序、周期时间及相位差，以减少路段停车次数，降低行程时间，提高行车舒适性的目标，主要工作内容包括区域路口协调情况及参数调查、方案设计、方案优化、方案执行、效果评估等工作。</w:t>
            </w:r>
          </w:p>
        </w:tc>
        <w:tc>
          <w:tcPr>
            <w:tcW w:w="850" w:type="dxa"/>
            <w:shd w:val="clear" w:color="000000" w:fill="FFFFFF"/>
            <w:vAlign w:val="center"/>
          </w:tcPr>
          <w:p w14:paraId="61A7B47D">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6B8FF9AE">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3CC7A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091FB566">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5</w:t>
            </w:r>
          </w:p>
        </w:tc>
        <w:tc>
          <w:tcPr>
            <w:tcW w:w="1119" w:type="dxa"/>
            <w:vMerge w:val="continue"/>
            <w:shd w:val="clear" w:color="000000" w:fill="FFFFFF"/>
            <w:vAlign w:val="center"/>
          </w:tcPr>
          <w:p w14:paraId="081CC251">
            <w:pPr>
              <w:widowControl/>
              <w:spacing w:line="240" w:lineRule="auto"/>
              <w:jc w:val="center"/>
              <w:rPr>
                <w:rFonts w:hint="eastAsia" w:ascii="仿宋" w:hAnsi="仿宋" w:eastAsia="仿宋" w:cs="仿宋"/>
                <w:b/>
                <w:bCs/>
                <w:kern w:val="0"/>
                <w:sz w:val="21"/>
                <w:szCs w:val="21"/>
              </w:rPr>
            </w:pPr>
          </w:p>
        </w:tc>
        <w:tc>
          <w:tcPr>
            <w:tcW w:w="1821" w:type="dxa"/>
            <w:shd w:val="clear" w:color="000000" w:fill="FFFFFF"/>
            <w:vAlign w:val="center"/>
          </w:tcPr>
          <w:p w14:paraId="7026D190">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信号控制路口周期巡查</w:t>
            </w:r>
          </w:p>
        </w:tc>
        <w:tc>
          <w:tcPr>
            <w:tcW w:w="4654" w:type="dxa"/>
            <w:shd w:val="clear" w:color="000000" w:fill="FFFFFF"/>
            <w:vAlign w:val="center"/>
          </w:tcPr>
          <w:p w14:paraId="1DB0086D">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根据城市经济发展和路网规模的变化，路口的交通流量、排队长度、停车次数会不断发生变化，为提高对交通信号控制系统运行状态的动态把握和快速反应，需要定期对所有路口进行巡查。巡查以路面巡查和内场检查相结合，路面巡查为主、内场检查为辅。</w:t>
            </w:r>
          </w:p>
        </w:tc>
        <w:tc>
          <w:tcPr>
            <w:tcW w:w="850" w:type="dxa"/>
            <w:shd w:val="clear" w:color="000000" w:fill="FFFFFF"/>
            <w:vAlign w:val="center"/>
          </w:tcPr>
          <w:p w14:paraId="7ABDB1CA">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558080CC">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6B255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0C88EADE">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6</w:t>
            </w:r>
          </w:p>
        </w:tc>
        <w:tc>
          <w:tcPr>
            <w:tcW w:w="1119" w:type="dxa"/>
            <w:vMerge w:val="continue"/>
            <w:shd w:val="clear" w:color="000000" w:fill="FFFFFF"/>
            <w:vAlign w:val="center"/>
          </w:tcPr>
          <w:p w14:paraId="3F244204">
            <w:pPr>
              <w:widowControl/>
              <w:spacing w:line="240" w:lineRule="auto"/>
              <w:jc w:val="center"/>
              <w:rPr>
                <w:rFonts w:hint="eastAsia" w:ascii="仿宋" w:hAnsi="仿宋" w:eastAsia="仿宋" w:cs="仿宋"/>
                <w:b/>
                <w:bCs/>
                <w:kern w:val="0"/>
                <w:sz w:val="21"/>
                <w:szCs w:val="21"/>
              </w:rPr>
            </w:pPr>
          </w:p>
        </w:tc>
        <w:tc>
          <w:tcPr>
            <w:tcW w:w="1821" w:type="dxa"/>
            <w:shd w:val="clear" w:color="000000" w:fill="FFFFFF"/>
            <w:vAlign w:val="center"/>
          </w:tcPr>
          <w:p w14:paraId="32D03C50">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问题路口日常调优</w:t>
            </w:r>
          </w:p>
        </w:tc>
        <w:tc>
          <w:tcPr>
            <w:tcW w:w="4654" w:type="dxa"/>
            <w:shd w:val="clear" w:color="000000" w:fill="FFFFFF"/>
            <w:vAlign w:val="center"/>
          </w:tcPr>
          <w:p w14:paraId="29156844">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在日常巡查中发现的问题路口，以及市民、媒体等反应的问题路口，需要进行必要的补充现状调查，并根据实际情况为路口设计合理的信号控制方案，使用专业的信号控制方案实际工具辅助优化。主要工作包括调查、设计、方案优化、实施、跟踪、再优化等工序。其中，由外部反馈的问题路口，一般都是交通情况相对恶劣，对人们的日常出行造成影响的路口，应重点关注。</w:t>
            </w:r>
          </w:p>
        </w:tc>
        <w:tc>
          <w:tcPr>
            <w:tcW w:w="850" w:type="dxa"/>
            <w:shd w:val="clear" w:color="000000" w:fill="FFFFFF"/>
            <w:vAlign w:val="center"/>
          </w:tcPr>
          <w:p w14:paraId="142F90B6">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4D4F84C0">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2CE1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47005942">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7</w:t>
            </w:r>
          </w:p>
        </w:tc>
        <w:tc>
          <w:tcPr>
            <w:tcW w:w="1119" w:type="dxa"/>
            <w:vMerge w:val="continue"/>
            <w:shd w:val="clear" w:color="000000" w:fill="FFFFFF"/>
            <w:vAlign w:val="center"/>
          </w:tcPr>
          <w:p w14:paraId="67C739C7">
            <w:pPr>
              <w:widowControl/>
              <w:spacing w:line="240" w:lineRule="auto"/>
              <w:jc w:val="center"/>
              <w:rPr>
                <w:rFonts w:hint="eastAsia" w:ascii="仿宋" w:hAnsi="仿宋" w:eastAsia="仿宋" w:cs="仿宋"/>
                <w:b/>
                <w:bCs/>
                <w:kern w:val="0"/>
                <w:sz w:val="21"/>
                <w:szCs w:val="21"/>
              </w:rPr>
            </w:pPr>
          </w:p>
        </w:tc>
        <w:tc>
          <w:tcPr>
            <w:tcW w:w="1821" w:type="dxa"/>
            <w:shd w:val="clear" w:color="000000" w:fill="FFFFFF"/>
            <w:vAlign w:val="center"/>
          </w:tcPr>
          <w:p w14:paraId="79A7B834">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警卫方案、特勤预案设计与保障</w:t>
            </w:r>
          </w:p>
        </w:tc>
        <w:tc>
          <w:tcPr>
            <w:tcW w:w="4654" w:type="dxa"/>
            <w:shd w:val="clear" w:color="000000" w:fill="FFFFFF"/>
            <w:vAlign w:val="center"/>
          </w:tcPr>
          <w:p w14:paraId="3FC39136">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与大队沟通确定常用警卫及特勤路线，</w:t>
            </w:r>
            <w:r>
              <w:rPr>
                <w:rFonts w:hint="eastAsia" w:ascii="仿宋" w:hAnsi="仿宋" w:eastAsia="仿宋" w:cs="仿宋"/>
                <w:color w:val="000000"/>
                <w:kern w:val="0"/>
                <w:sz w:val="21"/>
                <w:szCs w:val="21"/>
                <w:vertAlign w:val="subscript"/>
              </w:rPr>
              <w:softHyphen/>
            </w:r>
            <w:r>
              <w:rPr>
                <w:rFonts w:hint="eastAsia" w:ascii="仿宋" w:hAnsi="仿宋" w:eastAsia="仿宋" w:cs="仿宋"/>
                <w:color w:val="000000"/>
                <w:kern w:val="0"/>
                <w:sz w:val="21"/>
                <w:szCs w:val="21"/>
              </w:rPr>
              <w:t>技术人员充分调研选定路线，针对路线沿线及周边交通情况设计警卫方案，执行警卫特勤任务时，技术人员按大队的要求，通过管理平台同步监察特勤路线执行情况。</w:t>
            </w:r>
          </w:p>
        </w:tc>
        <w:tc>
          <w:tcPr>
            <w:tcW w:w="850" w:type="dxa"/>
            <w:shd w:val="clear" w:color="000000" w:fill="FFFFFF"/>
            <w:vAlign w:val="center"/>
          </w:tcPr>
          <w:p w14:paraId="54E88853">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1A779E5A">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223F1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082512E9">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8</w:t>
            </w:r>
          </w:p>
        </w:tc>
        <w:tc>
          <w:tcPr>
            <w:tcW w:w="1119" w:type="dxa"/>
            <w:vMerge w:val="restart"/>
            <w:shd w:val="clear" w:color="000000" w:fill="FFFFFF"/>
            <w:vAlign w:val="center"/>
          </w:tcPr>
          <w:p w14:paraId="3642F324">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舆情管理及成果宣传（5分）</w:t>
            </w:r>
          </w:p>
        </w:tc>
        <w:tc>
          <w:tcPr>
            <w:tcW w:w="1821" w:type="dxa"/>
            <w:shd w:val="clear" w:color="000000" w:fill="FFFFFF"/>
            <w:vAlign w:val="center"/>
          </w:tcPr>
          <w:p w14:paraId="3B4CEFD8">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舆情管理</w:t>
            </w:r>
          </w:p>
        </w:tc>
        <w:tc>
          <w:tcPr>
            <w:tcW w:w="4654" w:type="dxa"/>
            <w:shd w:val="clear" w:color="000000" w:fill="FFFFFF"/>
            <w:vAlign w:val="center"/>
          </w:tcPr>
          <w:p w14:paraId="19A9E9CB">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建立舆情管理工作流程，安排人员负责管理路口投诉问题的收集及整理，并积极与支/大队、设施单位沟通，及时了解路口的运行情况及存在问题，进行归纳分析，为进一步优化提供技术保障。项目组收集到各类问题后，根据问题的性质分类，按照轻重缓急进行处理。</w:t>
            </w:r>
          </w:p>
        </w:tc>
        <w:tc>
          <w:tcPr>
            <w:tcW w:w="850" w:type="dxa"/>
            <w:shd w:val="clear" w:color="000000" w:fill="FFFFFF"/>
            <w:vAlign w:val="center"/>
          </w:tcPr>
          <w:p w14:paraId="4F11E0AB">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50F50AD0">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4C2EE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2D5A3E15">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9</w:t>
            </w:r>
          </w:p>
        </w:tc>
        <w:tc>
          <w:tcPr>
            <w:tcW w:w="1119" w:type="dxa"/>
            <w:vMerge w:val="continue"/>
            <w:shd w:val="clear" w:color="000000" w:fill="FFFFFF"/>
            <w:vAlign w:val="center"/>
          </w:tcPr>
          <w:p w14:paraId="37B8DA8B">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vAlign w:val="center"/>
          </w:tcPr>
          <w:p w14:paraId="2A27919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成果多媒体宣传</w:t>
            </w:r>
          </w:p>
        </w:tc>
        <w:tc>
          <w:tcPr>
            <w:tcW w:w="4654" w:type="dxa"/>
            <w:shd w:val="clear" w:color="000000" w:fill="FFFFFF"/>
            <w:vAlign w:val="center"/>
          </w:tcPr>
          <w:p w14:paraId="62F9119F">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积极策划宣传亮点及对成果进行多媒体科普宣传，增强公众参与度，营造良好的信号优化配时舆论氛围。</w:t>
            </w:r>
          </w:p>
        </w:tc>
        <w:tc>
          <w:tcPr>
            <w:tcW w:w="850" w:type="dxa"/>
            <w:shd w:val="clear" w:color="000000" w:fill="FFFFFF"/>
            <w:vAlign w:val="center"/>
          </w:tcPr>
          <w:p w14:paraId="6F556C80">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76FF481B">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65931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7ACF3FF1">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10</w:t>
            </w:r>
          </w:p>
        </w:tc>
        <w:tc>
          <w:tcPr>
            <w:tcW w:w="1119" w:type="dxa"/>
            <w:vMerge w:val="restart"/>
            <w:shd w:val="clear" w:color="000000" w:fill="FFFFFF"/>
            <w:vAlign w:val="center"/>
          </w:tcPr>
          <w:p w14:paraId="688942A2">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质控评价（5分）</w:t>
            </w:r>
          </w:p>
        </w:tc>
        <w:tc>
          <w:tcPr>
            <w:tcW w:w="1821" w:type="dxa"/>
            <w:shd w:val="clear" w:color="000000" w:fill="FFFFFF"/>
            <w:vAlign w:val="center"/>
          </w:tcPr>
          <w:p w14:paraId="389EB3F1">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制定交通信号基础设施台账管理工作流程规范</w:t>
            </w:r>
          </w:p>
        </w:tc>
        <w:tc>
          <w:tcPr>
            <w:tcW w:w="4654" w:type="dxa"/>
            <w:shd w:val="clear" w:color="000000" w:fill="FFFFFF"/>
            <w:vAlign w:val="center"/>
          </w:tcPr>
          <w:p w14:paraId="0166752E">
            <w:pPr>
              <w:spacing w:line="240" w:lineRule="auto"/>
              <w:rPr>
                <w:rFonts w:hint="eastAsia" w:ascii="仿宋" w:hAnsi="仿宋" w:eastAsia="仿宋" w:cs="仿宋"/>
                <w:b/>
                <w:bCs/>
                <w:kern w:val="0"/>
                <w:sz w:val="21"/>
                <w:szCs w:val="21"/>
              </w:rPr>
            </w:pPr>
            <w:r>
              <w:rPr>
                <w:rFonts w:hint="eastAsia" w:ascii="仿宋" w:hAnsi="仿宋" w:eastAsia="仿宋" w:cs="仿宋"/>
                <w:color w:val="000000"/>
                <w:kern w:val="0"/>
                <w:sz w:val="21"/>
                <w:szCs w:val="21"/>
              </w:rPr>
              <w:t>项目服务周期前期，制定交通信号控制系统日常工作的相关流程，完善配套模板，提高工作效率</w:t>
            </w:r>
            <w:r>
              <w:rPr>
                <w:rFonts w:hint="eastAsia" w:ascii="仿宋" w:hAnsi="仿宋" w:eastAsia="仿宋" w:cs="仿宋"/>
                <w:kern w:val="0"/>
                <w:sz w:val="21"/>
                <w:szCs w:val="21"/>
              </w:rPr>
              <w:t>。</w:t>
            </w:r>
          </w:p>
        </w:tc>
        <w:tc>
          <w:tcPr>
            <w:tcW w:w="850" w:type="dxa"/>
            <w:shd w:val="clear" w:color="000000" w:fill="FFFFFF"/>
            <w:vAlign w:val="center"/>
          </w:tcPr>
          <w:p w14:paraId="2717F111">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42657979">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673D7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3DACEF1C">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11</w:t>
            </w:r>
          </w:p>
        </w:tc>
        <w:tc>
          <w:tcPr>
            <w:tcW w:w="1119" w:type="dxa"/>
            <w:vMerge w:val="continue"/>
            <w:shd w:val="clear" w:color="000000" w:fill="FFFFFF"/>
            <w:vAlign w:val="center"/>
          </w:tcPr>
          <w:p w14:paraId="72E230E2">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vAlign w:val="center"/>
          </w:tcPr>
          <w:p w14:paraId="1BDDD7E7">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日常路口管理流程化、规范化</w:t>
            </w:r>
          </w:p>
        </w:tc>
        <w:tc>
          <w:tcPr>
            <w:tcW w:w="4654" w:type="dxa"/>
            <w:shd w:val="clear" w:color="000000" w:fill="FFFFFF"/>
            <w:vAlign w:val="center"/>
          </w:tcPr>
          <w:p w14:paraId="4E8EE7D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通过收集、整理信号控制系统操作的有关资料，形成各个层次用户、不同等级的有针对性操作指南，实现在日常工作中更加规范地进行信号控制系统操作，快速提高系统操作人员的水平。</w:t>
            </w:r>
          </w:p>
        </w:tc>
        <w:tc>
          <w:tcPr>
            <w:tcW w:w="850" w:type="dxa"/>
            <w:shd w:val="clear" w:color="000000" w:fill="FFFFFF"/>
            <w:vAlign w:val="center"/>
          </w:tcPr>
          <w:p w14:paraId="741E6169">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7187BE45">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4EE3D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64457261">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12</w:t>
            </w:r>
          </w:p>
        </w:tc>
        <w:tc>
          <w:tcPr>
            <w:tcW w:w="1119" w:type="dxa"/>
            <w:vMerge w:val="continue"/>
            <w:shd w:val="clear" w:color="000000" w:fill="FFFFFF"/>
            <w:vAlign w:val="center"/>
          </w:tcPr>
          <w:p w14:paraId="645652A2">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vAlign w:val="center"/>
          </w:tcPr>
          <w:p w14:paraId="3966F705">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信号优化技术培训</w:t>
            </w:r>
          </w:p>
        </w:tc>
        <w:tc>
          <w:tcPr>
            <w:tcW w:w="4654" w:type="dxa"/>
            <w:shd w:val="clear" w:color="000000" w:fill="FFFFFF"/>
            <w:vAlign w:val="center"/>
          </w:tcPr>
          <w:p w14:paraId="18EE48E2">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在项目实施期间总结现有的交通信号控制理论及技术，制定相关规范或模式。</w:t>
            </w:r>
          </w:p>
        </w:tc>
        <w:tc>
          <w:tcPr>
            <w:tcW w:w="850" w:type="dxa"/>
            <w:shd w:val="clear" w:color="000000" w:fill="FFFFFF"/>
            <w:vAlign w:val="center"/>
          </w:tcPr>
          <w:p w14:paraId="79015C89">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4DE2E361">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6C6D8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172A0A6D">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13</w:t>
            </w:r>
          </w:p>
        </w:tc>
        <w:tc>
          <w:tcPr>
            <w:tcW w:w="1119" w:type="dxa"/>
            <w:vMerge w:val="restart"/>
            <w:shd w:val="clear" w:color="000000" w:fill="FFFFFF"/>
            <w:vAlign w:val="center"/>
          </w:tcPr>
          <w:p w14:paraId="1B39049F">
            <w:pPr>
              <w:widowControl/>
              <w:spacing w:line="240" w:lineRule="auto"/>
              <w:jc w:val="center"/>
              <w:rPr>
                <w:rFonts w:hint="eastAsia" w:ascii="仿宋" w:hAnsi="仿宋" w:eastAsia="仿宋" w:cs="仿宋"/>
                <w:color w:val="000000"/>
                <w:kern w:val="0"/>
                <w:sz w:val="21"/>
                <w:szCs w:val="21"/>
              </w:rPr>
            </w:pPr>
            <w:bookmarkStart w:id="45" w:name="_Toc44237569"/>
            <w:bookmarkStart w:id="46" w:name="_Toc45547143"/>
            <w:bookmarkStart w:id="47" w:name="_Toc45653032"/>
            <w:r>
              <w:rPr>
                <w:rFonts w:hint="eastAsia" w:ascii="仿宋" w:hAnsi="仿宋" w:eastAsia="仿宋" w:cs="仿宋"/>
                <w:color w:val="000000"/>
                <w:kern w:val="0"/>
                <w:sz w:val="21"/>
                <w:szCs w:val="21"/>
              </w:rPr>
              <w:t>交通信号优化配时仿真研判服务</w:t>
            </w:r>
            <w:bookmarkEnd w:id="45"/>
            <w:bookmarkEnd w:id="46"/>
            <w:bookmarkEnd w:id="47"/>
          </w:p>
          <w:p w14:paraId="6ABA7534">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（5分）</w:t>
            </w:r>
          </w:p>
        </w:tc>
        <w:tc>
          <w:tcPr>
            <w:tcW w:w="1821" w:type="dxa"/>
            <w:shd w:val="clear" w:color="000000" w:fill="FFFFFF"/>
          </w:tcPr>
          <w:p w14:paraId="328A2DD2">
            <w:pPr>
              <w:spacing w:line="240" w:lineRule="auto"/>
              <w:rPr>
                <w:rFonts w:hint="eastAsia" w:ascii="仿宋" w:hAnsi="仿宋" w:eastAsia="仿宋" w:cs="仿宋"/>
                <w:color w:val="000000"/>
                <w:kern w:val="0"/>
                <w:sz w:val="21"/>
                <w:szCs w:val="21"/>
              </w:rPr>
            </w:pPr>
            <w:r>
              <w:rPr>
                <w:rFonts w:hint="eastAsia" w:ascii="仿宋" w:hAnsi="仿宋" w:eastAsia="仿宋" w:cs="仿宋"/>
                <w:sz w:val="21"/>
                <w:szCs w:val="21"/>
              </w:rPr>
              <w:t>交通信号优化配时仿真研判系统应用服务</w:t>
            </w:r>
          </w:p>
        </w:tc>
        <w:tc>
          <w:tcPr>
            <w:tcW w:w="4654" w:type="dxa"/>
            <w:shd w:val="clear" w:color="000000" w:fill="FFFFFF"/>
            <w:vAlign w:val="center"/>
          </w:tcPr>
          <w:p w14:paraId="043E283C">
            <w:pPr>
              <w:spacing w:line="240" w:lineRule="auto"/>
              <w:rPr>
                <w:rFonts w:hint="eastAsia" w:ascii="仿宋" w:hAnsi="仿宋" w:eastAsia="仿宋" w:cs="仿宋"/>
                <w:sz w:val="21"/>
                <w:szCs w:val="21"/>
              </w:rPr>
            </w:pPr>
            <w:r>
              <w:rPr>
                <w:rFonts w:hint="eastAsia" w:ascii="仿宋" w:hAnsi="仿宋" w:eastAsia="仿宋" w:cs="仿宋"/>
                <w:sz w:val="21"/>
                <w:szCs w:val="21"/>
              </w:rPr>
              <w:t>交通组织、信号控制、干道绿波、区域协调等方案的提供全维度、多时段的仿真分析、评估和预判，支持接入实时检测数据实现路口在线仿真预测及评估。</w:t>
            </w:r>
          </w:p>
        </w:tc>
        <w:tc>
          <w:tcPr>
            <w:tcW w:w="850" w:type="dxa"/>
            <w:shd w:val="clear" w:color="000000" w:fill="FFFFFF"/>
            <w:vAlign w:val="center"/>
          </w:tcPr>
          <w:p w14:paraId="0F5F61A8">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5D9C967E">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745EA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093F6CAA">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14</w:t>
            </w:r>
          </w:p>
        </w:tc>
        <w:tc>
          <w:tcPr>
            <w:tcW w:w="1119" w:type="dxa"/>
            <w:vMerge w:val="continue"/>
            <w:shd w:val="clear" w:color="000000" w:fill="FFFFFF"/>
            <w:vAlign w:val="center"/>
          </w:tcPr>
          <w:p w14:paraId="551992F8">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tcPr>
          <w:p w14:paraId="238A7766">
            <w:pPr>
              <w:spacing w:line="240" w:lineRule="auto"/>
              <w:rPr>
                <w:rFonts w:hint="eastAsia" w:ascii="仿宋" w:hAnsi="仿宋" w:eastAsia="仿宋" w:cs="仿宋"/>
                <w:color w:val="000000"/>
                <w:kern w:val="0"/>
                <w:sz w:val="21"/>
                <w:szCs w:val="21"/>
              </w:rPr>
            </w:pPr>
            <w:r>
              <w:rPr>
                <w:rFonts w:hint="eastAsia" w:ascii="仿宋" w:hAnsi="仿宋" w:eastAsia="仿宋" w:cs="仿宋"/>
                <w:sz w:val="21"/>
                <w:szCs w:val="21"/>
              </w:rPr>
              <w:t>仿真建模服务</w:t>
            </w:r>
          </w:p>
        </w:tc>
        <w:tc>
          <w:tcPr>
            <w:tcW w:w="4654" w:type="dxa"/>
            <w:shd w:val="clear" w:color="000000" w:fill="FFFFFF"/>
            <w:vAlign w:val="center"/>
          </w:tcPr>
          <w:p w14:paraId="0C3E668C">
            <w:pPr>
              <w:spacing w:line="240" w:lineRule="auto"/>
              <w:rPr>
                <w:rFonts w:hint="eastAsia" w:ascii="仿宋" w:hAnsi="仿宋" w:eastAsia="仿宋" w:cs="仿宋"/>
                <w:sz w:val="21"/>
                <w:szCs w:val="21"/>
              </w:rPr>
            </w:pPr>
            <w:r>
              <w:rPr>
                <w:rFonts w:hint="eastAsia" w:ascii="仿宋" w:hAnsi="仿宋" w:eastAsia="仿宋" w:cs="仿宋"/>
                <w:sz w:val="21"/>
                <w:szCs w:val="21"/>
              </w:rPr>
              <w:t>根据实际需要建立路口及路段的仿真模型</w:t>
            </w:r>
          </w:p>
        </w:tc>
        <w:tc>
          <w:tcPr>
            <w:tcW w:w="850" w:type="dxa"/>
            <w:shd w:val="clear" w:color="000000" w:fill="FFFFFF"/>
            <w:vAlign w:val="center"/>
          </w:tcPr>
          <w:p w14:paraId="2F8A81B8">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4FBE3F80">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529FA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7FA28B2B">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15</w:t>
            </w:r>
          </w:p>
        </w:tc>
        <w:tc>
          <w:tcPr>
            <w:tcW w:w="1119" w:type="dxa"/>
            <w:vMerge w:val="continue"/>
            <w:shd w:val="clear" w:color="000000" w:fill="FFFFFF"/>
            <w:vAlign w:val="center"/>
          </w:tcPr>
          <w:p w14:paraId="502370E6">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tcPr>
          <w:p w14:paraId="1A332CDD">
            <w:pPr>
              <w:spacing w:line="240" w:lineRule="auto"/>
              <w:rPr>
                <w:rFonts w:hint="eastAsia" w:ascii="仿宋" w:hAnsi="仿宋" w:eastAsia="仿宋" w:cs="仿宋"/>
                <w:color w:val="000000"/>
                <w:kern w:val="0"/>
                <w:sz w:val="21"/>
                <w:szCs w:val="21"/>
              </w:rPr>
            </w:pPr>
            <w:r>
              <w:rPr>
                <w:rFonts w:hint="eastAsia" w:ascii="仿宋" w:hAnsi="仿宋" w:eastAsia="仿宋" w:cs="仿宋"/>
                <w:sz w:val="21"/>
                <w:szCs w:val="21"/>
              </w:rPr>
              <w:t>场景还原服务</w:t>
            </w:r>
          </w:p>
        </w:tc>
        <w:tc>
          <w:tcPr>
            <w:tcW w:w="4654" w:type="dxa"/>
            <w:shd w:val="clear" w:color="000000" w:fill="FFFFFF"/>
            <w:vAlign w:val="center"/>
          </w:tcPr>
          <w:p w14:paraId="2BCA9ABA">
            <w:pPr>
              <w:spacing w:line="240" w:lineRule="auto"/>
              <w:rPr>
                <w:rFonts w:hint="eastAsia" w:ascii="仿宋" w:hAnsi="仿宋" w:eastAsia="仿宋" w:cs="仿宋"/>
                <w:sz w:val="21"/>
                <w:szCs w:val="21"/>
              </w:rPr>
            </w:pPr>
            <w:r>
              <w:rPr>
                <w:rFonts w:hint="eastAsia" w:ascii="仿宋" w:hAnsi="仿宋" w:eastAsia="仿宋" w:cs="仿宋"/>
                <w:sz w:val="21"/>
                <w:szCs w:val="21"/>
              </w:rPr>
              <w:t>根据交通流量，动态还原真实交通场景。</w:t>
            </w:r>
          </w:p>
        </w:tc>
        <w:tc>
          <w:tcPr>
            <w:tcW w:w="850" w:type="dxa"/>
            <w:shd w:val="clear" w:color="000000" w:fill="FFFFFF"/>
            <w:vAlign w:val="center"/>
          </w:tcPr>
          <w:p w14:paraId="495AA393">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6BF9AC05">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478E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6AFCB13A">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16</w:t>
            </w:r>
          </w:p>
        </w:tc>
        <w:tc>
          <w:tcPr>
            <w:tcW w:w="1119" w:type="dxa"/>
            <w:vMerge w:val="continue"/>
            <w:shd w:val="clear" w:color="000000" w:fill="FFFFFF"/>
            <w:vAlign w:val="center"/>
          </w:tcPr>
          <w:p w14:paraId="7FF4A38E">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tcPr>
          <w:p w14:paraId="29F86F4F">
            <w:pPr>
              <w:spacing w:line="240" w:lineRule="auto"/>
              <w:rPr>
                <w:rFonts w:hint="eastAsia" w:ascii="仿宋" w:hAnsi="仿宋" w:eastAsia="仿宋" w:cs="仿宋"/>
                <w:color w:val="000000"/>
                <w:kern w:val="0"/>
                <w:sz w:val="21"/>
                <w:szCs w:val="21"/>
              </w:rPr>
            </w:pPr>
            <w:r>
              <w:rPr>
                <w:rFonts w:hint="eastAsia" w:ascii="仿宋" w:hAnsi="仿宋" w:eastAsia="仿宋" w:cs="仿宋"/>
                <w:sz w:val="21"/>
                <w:szCs w:val="21"/>
              </w:rPr>
              <w:t>一年路网模型及场景维护服务</w:t>
            </w:r>
          </w:p>
        </w:tc>
        <w:tc>
          <w:tcPr>
            <w:tcW w:w="4654" w:type="dxa"/>
            <w:shd w:val="clear" w:color="000000" w:fill="FFFFFF"/>
            <w:vAlign w:val="center"/>
          </w:tcPr>
          <w:p w14:paraId="19DBEAF5">
            <w:pPr>
              <w:spacing w:line="240" w:lineRule="auto"/>
              <w:rPr>
                <w:rFonts w:hint="eastAsia" w:ascii="仿宋" w:hAnsi="仿宋" w:eastAsia="仿宋" w:cs="仿宋"/>
                <w:sz w:val="21"/>
                <w:szCs w:val="21"/>
              </w:rPr>
            </w:pPr>
            <w:r>
              <w:rPr>
                <w:rFonts w:hint="eastAsia" w:ascii="仿宋" w:hAnsi="仿宋" w:eastAsia="仿宋" w:cs="仿宋"/>
                <w:sz w:val="21"/>
                <w:szCs w:val="21"/>
              </w:rPr>
              <w:t>路网新建、改造及优化交通组织方案建模、新增三维场景建模、新增或更新交通运行场景</w:t>
            </w:r>
          </w:p>
        </w:tc>
        <w:tc>
          <w:tcPr>
            <w:tcW w:w="850" w:type="dxa"/>
            <w:shd w:val="clear" w:color="000000" w:fill="FFFFFF"/>
            <w:vAlign w:val="center"/>
          </w:tcPr>
          <w:p w14:paraId="0BB8373A">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62D8B44D">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0FC1A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293F4F03">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17</w:t>
            </w:r>
          </w:p>
        </w:tc>
        <w:tc>
          <w:tcPr>
            <w:tcW w:w="1119" w:type="dxa"/>
            <w:vMerge w:val="continue"/>
            <w:shd w:val="clear" w:color="000000" w:fill="FFFFFF"/>
            <w:vAlign w:val="center"/>
          </w:tcPr>
          <w:p w14:paraId="5D6BF7DA">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tcPr>
          <w:p w14:paraId="0661386D">
            <w:pPr>
              <w:spacing w:line="240" w:lineRule="auto"/>
              <w:rPr>
                <w:rFonts w:hint="eastAsia" w:ascii="仿宋" w:hAnsi="仿宋" w:eastAsia="仿宋" w:cs="仿宋"/>
                <w:color w:val="000000"/>
                <w:kern w:val="0"/>
                <w:sz w:val="21"/>
                <w:szCs w:val="21"/>
              </w:rPr>
            </w:pPr>
            <w:r>
              <w:rPr>
                <w:rFonts w:hint="eastAsia" w:ascii="仿宋" w:hAnsi="仿宋" w:eastAsia="仿宋" w:cs="仿宋"/>
                <w:sz w:val="21"/>
                <w:szCs w:val="21"/>
              </w:rPr>
              <w:t>路口级在线仿真功能</w:t>
            </w:r>
          </w:p>
        </w:tc>
        <w:tc>
          <w:tcPr>
            <w:tcW w:w="4654" w:type="dxa"/>
            <w:shd w:val="clear" w:color="000000" w:fill="FFFFFF"/>
            <w:vAlign w:val="center"/>
          </w:tcPr>
          <w:p w14:paraId="29C263D8">
            <w:pPr>
              <w:spacing w:line="240" w:lineRule="auto"/>
              <w:rPr>
                <w:rFonts w:hint="eastAsia" w:ascii="仿宋" w:hAnsi="仿宋" w:eastAsia="仿宋" w:cs="仿宋"/>
                <w:sz w:val="21"/>
                <w:szCs w:val="21"/>
              </w:rPr>
            </w:pPr>
            <w:r>
              <w:rPr>
                <w:rFonts w:hint="eastAsia" w:ascii="仿宋" w:hAnsi="仿宋" w:eastAsia="仿宋" w:cs="仿宋"/>
                <w:sz w:val="21"/>
                <w:szCs w:val="21"/>
              </w:rPr>
              <w:t>根据动态的实时交通流量，在线模拟真实的路网环境</w:t>
            </w:r>
          </w:p>
        </w:tc>
        <w:tc>
          <w:tcPr>
            <w:tcW w:w="850" w:type="dxa"/>
            <w:shd w:val="clear" w:color="000000" w:fill="FFFFFF"/>
            <w:vAlign w:val="center"/>
          </w:tcPr>
          <w:p w14:paraId="579E73D0">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45BC5DBD">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65309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6A662F7F">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18</w:t>
            </w:r>
          </w:p>
        </w:tc>
        <w:tc>
          <w:tcPr>
            <w:tcW w:w="1119" w:type="dxa"/>
            <w:vMerge w:val="restart"/>
            <w:shd w:val="clear" w:color="000000" w:fill="FFFFFF"/>
            <w:vAlign w:val="center"/>
          </w:tcPr>
          <w:p w14:paraId="52DB1D7A">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互联网+交通大数据平台</w:t>
            </w:r>
          </w:p>
          <w:p w14:paraId="5FF8D097">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（5分）</w:t>
            </w:r>
          </w:p>
        </w:tc>
        <w:tc>
          <w:tcPr>
            <w:tcW w:w="1821" w:type="dxa"/>
            <w:shd w:val="clear" w:color="000000" w:fill="FFFFFF"/>
          </w:tcPr>
          <w:p w14:paraId="6DC51969">
            <w:pPr>
              <w:spacing w:line="240" w:lineRule="auto"/>
              <w:rPr>
                <w:rFonts w:hint="eastAsia" w:ascii="仿宋" w:hAnsi="仿宋" w:eastAsia="仿宋" w:cs="仿宋"/>
                <w:sz w:val="21"/>
                <w:szCs w:val="21"/>
              </w:rPr>
            </w:pPr>
            <w:r>
              <w:rPr>
                <w:rFonts w:hint="eastAsia" w:ascii="仿宋" w:hAnsi="仿宋" w:eastAsia="仿宋" w:cs="仿宋"/>
                <w:sz w:val="21"/>
                <w:szCs w:val="21"/>
              </w:rPr>
              <w:t>互联网+大数据路口运行监控</w:t>
            </w:r>
          </w:p>
        </w:tc>
        <w:tc>
          <w:tcPr>
            <w:tcW w:w="4654" w:type="dxa"/>
            <w:shd w:val="clear" w:color="000000" w:fill="FFFFFF"/>
            <w:vAlign w:val="center"/>
          </w:tcPr>
          <w:p w14:paraId="6EF7E43F">
            <w:pPr>
              <w:spacing w:line="240" w:lineRule="auto"/>
              <w:rPr>
                <w:rFonts w:hint="eastAsia" w:ascii="仿宋" w:hAnsi="仿宋" w:eastAsia="仿宋" w:cs="仿宋"/>
                <w:sz w:val="21"/>
                <w:szCs w:val="21"/>
              </w:rPr>
            </w:pPr>
            <w:r>
              <w:rPr>
                <w:rFonts w:hint="eastAsia" w:ascii="仿宋" w:hAnsi="仿宋" w:eastAsia="仿宋" w:cs="仿宋"/>
                <w:sz w:val="21"/>
                <w:szCs w:val="21"/>
              </w:rPr>
              <w:t>互联网+大数据对路口日常运行情况进行监控，达到监测记录路口日常运行状态的目的，以记录对比不同时期或优化前后路口运行状态，切能够实现实时监测异常拥堵点位报警等日常应用。</w:t>
            </w:r>
          </w:p>
        </w:tc>
        <w:tc>
          <w:tcPr>
            <w:tcW w:w="850" w:type="dxa"/>
            <w:shd w:val="clear" w:color="000000" w:fill="FFFFFF"/>
            <w:vAlign w:val="center"/>
          </w:tcPr>
          <w:p w14:paraId="17225BC2">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781136B2">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7BFF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7608AFD9">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19</w:t>
            </w:r>
          </w:p>
        </w:tc>
        <w:tc>
          <w:tcPr>
            <w:tcW w:w="1119" w:type="dxa"/>
            <w:vMerge w:val="continue"/>
            <w:shd w:val="clear" w:color="000000" w:fill="FFFFFF"/>
            <w:vAlign w:val="center"/>
          </w:tcPr>
          <w:p w14:paraId="15E54D27">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tcPr>
          <w:p w14:paraId="757E388B">
            <w:pPr>
              <w:spacing w:line="240" w:lineRule="auto"/>
              <w:rPr>
                <w:rFonts w:hint="eastAsia" w:ascii="仿宋" w:hAnsi="仿宋" w:eastAsia="仿宋" w:cs="仿宋"/>
                <w:sz w:val="21"/>
                <w:szCs w:val="21"/>
              </w:rPr>
            </w:pPr>
            <w:r>
              <w:rPr>
                <w:rFonts w:hint="eastAsia" w:ascii="仿宋" w:hAnsi="仿宋" w:eastAsia="仿宋" w:cs="仿宋"/>
                <w:sz w:val="21"/>
                <w:szCs w:val="21"/>
              </w:rPr>
              <w:t>互联网+大数据诊断</w:t>
            </w:r>
          </w:p>
        </w:tc>
        <w:tc>
          <w:tcPr>
            <w:tcW w:w="4654" w:type="dxa"/>
            <w:shd w:val="clear" w:color="000000" w:fill="FFFFFF"/>
            <w:vAlign w:val="center"/>
          </w:tcPr>
          <w:p w14:paraId="39952D56">
            <w:pPr>
              <w:spacing w:line="240" w:lineRule="auto"/>
              <w:rPr>
                <w:rFonts w:hint="eastAsia" w:ascii="仿宋" w:hAnsi="仿宋" w:eastAsia="仿宋" w:cs="仿宋"/>
                <w:sz w:val="21"/>
                <w:szCs w:val="21"/>
              </w:rPr>
            </w:pPr>
            <w:r>
              <w:rPr>
                <w:rFonts w:hint="eastAsia" w:ascii="仿宋" w:hAnsi="仿宋" w:eastAsia="仿宋" w:cs="仿宋"/>
                <w:sz w:val="21"/>
                <w:szCs w:val="21"/>
              </w:rPr>
              <w:t>依托于海量浮动车轨迹数据，通过算法整合，可以通过自定义诊断区域、路段、路口，有目的性的对目标进行信号问题诊断，或进行自动监控下的问题诊断，达到及时发现问题的目的。</w:t>
            </w:r>
          </w:p>
        </w:tc>
        <w:tc>
          <w:tcPr>
            <w:tcW w:w="850" w:type="dxa"/>
            <w:shd w:val="clear" w:color="000000" w:fill="FFFFFF"/>
            <w:vAlign w:val="center"/>
          </w:tcPr>
          <w:p w14:paraId="7D4C8F41">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7C8182CF">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41CEA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0B2634EB">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20</w:t>
            </w:r>
          </w:p>
        </w:tc>
        <w:tc>
          <w:tcPr>
            <w:tcW w:w="1119" w:type="dxa"/>
            <w:vMerge w:val="continue"/>
            <w:shd w:val="clear" w:color="000000" w:fill="FFFFFF"/>
            <w:vAlign w:val="center"/>
          </w:tcPr>
          <w:p w14:paraId="4275819F">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tcPr>
          <w:p w14:paraId="70123FCB">
            <w:pPr>
              <w:spacing w:line="240" w:lineRule="auto"/>
              <w:rPr>
                <w:rFonts w:hint="eastAsia" w:ascii="仿宋" w:hAnsi="仿宋" w:eastAsia="仿宋" w:cs="仿宋"/>
                <w:sz w:val="21"/>
                <w:szCs w:val="21"/>
              </w:rPr>
            </w:pPr>
            <w:r>
              <w:rPr>
                <w:rFonts w:hint="eastAsia" w:ascii="仿宋" w:hAnsi="仿宋" w:eastAsia="仿宋" w:cs="仿宋"/>
                <w:sz w:val="21"/>
                <w:szCs w:val="21"/>
              </w:rPr>
              <w:t>互联网+大数据方案优化</w:t>
            </w:r>
          </w:p>
        </w:tc>
        <w:tc>
          <w:tcPr>
            <w:tcW w:w="4654" w:type="dxa"/>
            <w:shd w:val="clear" w:color="000000" w:fill="FFFFFF"/>
            <w:vAlign w:val="center"/>
          </w:tcPr>
          <w:p w14:paraId="7CFBF328">
            <w:pPr>
              <w:spacing w:line="240" w:lineRule="auto"/>
              <w:rPr>
                <w:rFonts w:hint="eastAsia" w:ascii="仿宋" w:hAnsi="仿宋" w:eastAsia="仿宋" w:cs="仿宋"/>
                <w:sz w:val="21"/>
                <w:szCs w:val="21"/>
              </w:rPr>
            </w:pPr>
            <w:r>
              <w:rPr>
                <w:rFonts w:hint="eastAsia" w:ascii="仿宋" w:hAnsi="仿宋" w:eastAsia="仿宋" w:cs="仿宋"/>
                <w:sz w:val="21"/>
                <w:szCs w:val="21"/>
              </w:rPr>
              <w:t>通过大数据对路口各方向延误进行整理，配合浮动车轨迹数据，结合互联网+大数据评价应用对现有信号控制方案的绿信比、周期、相位差进行不断迭代优化升级。</w:t>
            </w:r>
          </w:p>
        </w:tc>
        <w:tc>
          <w:tcPr>
            <w:tcW w:w="850" w:type="dxa"/>
            <w:shd w:val="clear" w:color="000000" w:fill="FFFFFF"/>
            <w:vAlign w:val="center"/>
          </w:tcPr>
          <w:p w14:paraId="046CD3D5">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17B53503">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04E31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151746B5">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21</w:t>
            </w:r>
          </w:p>
        </w:tc>
        <w:tc>
          <w:tcPr>
            <w:tcW w:w="1119" w:type="dxa"/>
            <w:vMerge w:val="continue"/>
            <w:shd w:val="clear" w:color="000000" w:fill="FFFFFF"/>
            <w:vAlign w:val="center"/>
          </w:tcPr>
          <w:p w14:paraId="32BC2B00">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tcPr>
          <w:p w14:paraId="34E873A3">
            <w:pPr>
              <w:spacing w:line="240" w:lineRule="auto"/>
              <w:rPr>
                <w:rFonts w:hint="eastAsia" w:ascii="仿宋" w:hAnsi="仿宋" w:eastAsia="仿宋" w:cs="仿宋"/>
                <w:sz w:val="21"/>
                <w:szCs w:val="21"/>
              </w:rPr>
            </w:pPr>
            <w:r>
              <w:rPr>
                <w:rFonts w:hint="eastAsia" w:ascii="仿宋" w:hAnsi="仿宋" w:eastAsia="仿宋" w:cs="仿宋"/>
                <w:sz w:val="21"/>
                <w:szCs w:val="21"/>
              </w:rPr>
              <w:t>互联网+大数据评价</w:t>
            </w:r>
          </w:p>
        </w:tc>
        <w:tc>
          <w:tcPr>
            <w:tcW w:w="4654" w:type="dxa"/>
            <w:shd w:val="clear" w:color="000000" w:fill="FFFFFF"/>
            <w:vAlign w:val="center"/>
          </w:tcPr>
          <w:p w14:paraId="58BAD1DA">
            <w:pPr>
              <w:spacing w:line="240" w:lineRule="auto"/>
              <w:rPr>
                <w:rFonts w:hint="eastAsia" w:ascii="仿宋" w:hAnsi="仿宋" w:eastAsia="仿宋" w:cs="仿宋"/>
                <w:sz w:val="21"/>
                <w:szCs w:val="21"/>
              </w:rPr>
            </w:pPr>
            <w:r>
              <w:rPr>
                <w:rFonts w:hint="eastAsia" w:ascii="仿宋" w:hAnsi="仿宋" w:eastAsia="仿宋" w:cs="仿宋"/>
                <w:sz w:val="21"/>
                <w:szCs w:val="21"/>
              </w:rPr>
              <w:t>通过海量浮动车轨迹数据，收集路口延误，停车次数、路口指数等动态数据，对路口信号运行状态进行评价，时刻记录路口运行状态，对不同情况路口的运行情况进行对比评价。</w:t>
            </w:r>
          </w:p>
        </w:tc>
        <w:tc>
          <w:tcPr>
            <w:tcW w:w="850" w:type="dxa"/>
            <w:shd w:val="clear" w:color="000000" w:fill="FFFFFF"/>
            <w:vAlign w:val="center"/>
          </w:tcPr>
          <w:p w14:paraId="05AA47C0">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7F0B5A5C">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r w14:paraId="67584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1" w:type="dxa"/>
            <w:shd w:val="clear" w:color="000000" w:fill="FFFFFF"/>
            <w:vAlign w:val="center"/>
          </w:tcPr>
          <w:p w14:paraId="52AA5B27">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22</w:t>
            </w:r>
          </w:p>
        </w:tc>
        <w:tc>
          <w:tcPr>
            <w:tcW w:w="1119" w:type="dxa"/>
            <w:vMerge w:val="continue"/>
            <w:shd w:val="clear" w:color="000000" w:fill="FFFFFF"/>
            <w:vAlign w:val="center"/>
          </w:tcPr>
          <w:p w14:paraId="62AF22C2">
            <w:pPr>
              <w:widowControl/>
              <w:spacing w:line="240" w:lineRule="auto"/>
              <w:jc w:val="center"/>
              <w:rPr>
                <w:rFonts w:hint="eastAsia" w:ascii="仿宋" w:hAnsi="仿宋" w:eastAsia="仿宋" w:cs="仿宋"/>
                <w:color w:val="000000"/>
                <w:kern w:val="0"/>
                <w:sz w:val="21"/>
                <w:szCs w:val="21"/>
              </w:rPr>
            </w:pPr>
          </w:p>
        </w:tc>
        <w:tc>
          <w:tcPr>
            <w:tcW w:w="1821" w:type="dxa"/>
            <w:shd w:val="clear" w:color="000000" w:fill="FFFFFF"/>
          </w:tcPr>
          <w:p w14:paraId="21884A85">
            <w:pPr>
              <w:spacing w:line="240" w:lineRule="auto"/>
              <w:rPr>
                <w:rFonts w:hint="eastAsia" w:ascii="仿宋" w:hAnsi="仿宋" w:eastAsia="仿宋" w:cs="仿宋"/>
                <w:sz w:val="21"/>
                <w:szCs w:val="21"/>
              </w:rPr>
            </w:pPr>
            <w:r>
              <w:rPr>
                <w:rFonts w:hint="eastAsia" w:ascii="仿宋" w:hAnsi="仿宋" w:eastAsia="仿宋" w:cs="仿宋"/>
                <w:sz w:val="21"/>
                <w:szCs w:val="21"/>
              </w:rPr>
              <w:t>自动化信控路口报告</w:t>
            </w:r>
          </w:p>
        </w:tc>
        <w:tc>
          <w:tcPr>
            <w:tcW w:w="4654" w:type="dxa"/>
            <w:shd w:val="clear" w:color="000000" w:fill="FFFFFF"/>
            <w:vAlign w:val="center"/>
          </w:tcPr>
          <w:p w14:paraId="5CCC36ED">
            <w:pPr>
              <w:spacing w:line="240" w:lineRule="auto"/>
              <w:rPr>
                <w:rFonts w:hint="eastAsia" w:ascii="仿宋" w:hAnsi="仿宋" w:eastAsia="仿宋" w:cs="仿宋"/>
                <w:sz w:val="21"/>
                <w:szCs w:val="21"/>
              </w:rPr>
            </w:pPr>
            <w:r>
              <w:rPr>
                <w:rFonts w:hint="eastAsia" w:ascii="仿宋" w:hAnsi="仿宋" w:eastAsia="仿宋" w:cs="仿宋"/>
                <w:sz w:val="21"/>
                <w:szCs w:val="21"/>
              </w:rPr>
              <w:t>以月报、季报、年报的形式，自动化对服务辖区内信号路口运行状态出具报告，其报告内容能够如实反映上一个报告周期内，服务范围内路口、路段、区域的基本运行状态，包括拥堵排名、平均速度、交通运行指数等相关参数及变化趋势展示。</w:t>
            </w:r>
          </w:p>
        </w:tc>
        <w:tc>
          <w:tcPr>
            <w:tcW w:w="850" w:type="dxa"/>
            <w:shd w:val="clear" w:color="000000" w:fill="FFFFFF"/>
            <w:vAlign w:val="center"/>
          </w:tcPr>
          <w:p w14:paraId="7C44A38A">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396</w:t>
            </w:r>
          </w:p>
        </w:tc>
        <w:tc>
          <w:tcPr>
            <w:tcW w:w="709" w:type="dxa"/>
            <w:shd w:val="clear" w:color="000000" w:fill="FFFFFF"/>
            <w:vAlign w:val="center"/>
          </w:tcPr>
          <w:p w14:paraId="7B1A4C67">
            <w:pPr>
              <w:widowControl/>
              <w:spacing w:line="240" w:lineRule="auto"/>
              <w:jc w:val="center"/>
              <w:rPr>
                <w:rFonts w:hint="eastAsia" w:ascii="仿宋" w:hAnsi="仿宋" w:eastAsia="仿宋" w:cs="仿宋"/>
                <w:kern w:val="0"/>
                <w:sz w:val="21"/>
                <w:szCs w:val="21"/>
              </w:rPr>
            </w:pPr>
            <w:r>
              <w:rPr>
                <w:rFonts w:hint="eastAsia" w:ascii="仿宋" w:hAnsi="仿宋" w:eastAsia="仿宋" w:cs="仿宋"/>
                <w:kern w:val="0"/>
                <w:sz w:val="21"/>
                <w:szCs w:val="21"/>
              </w:rPr>
              <w:t>3年</w:t>
            </w:r>
          </w:p>
        </w:tc>
      </w:tr>
    </w:tbl>
    <w:p w14:paraId="3294B25A">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*工作机制</w:t>
      </w:r>
    </w:p>
    <w:p w14:paraId="04F2168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针对交通信号优化配时及外延的工作内容，制定常规的工作流程、规范说明书、验收标准，使交通信号优化配时日常工作标准化、流程化、格式化。</w:t>
      </w:r>
    </w:p>
    <w:p w14:paraId="7BFCFB3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*数据规范</w:t>
      </w:r>
    </w:p>
    <w:p w14:paraId="3AEE58A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针对交通信号优化配时及外延的工作中采集、录入、处理的数据，制定统一的数据定义、格式，让各配时中心人员对同一指标的理解是一致的。</w:t>
      </w:r>
    </w:p>
    <w:p w14:paraId="341943A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*专业团队</w:t>
      </w:r>
    </w:p>
    <w:p w14:paraId="2F286CE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根据配时中心的工作内容，打造高效执行和专业科研的复合型团队，明确专业技术团队的要求，如人员的素质、数量、工作要求、工作内容等。</w:t>
      </w:r>
    </w:p>
    <w:p w14:paraId="3FF587C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*运行管理软件工具</w:t>
      </w:r>
    </w:p>
    <w:p w14:paraId="2492F48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将交通信号优化配时中心日常运营中一系列运营活动与数据规范，以道路交通信号控制管理与道路交通组织优化为核心，实现对交通信号优化配时中心日常运营工作的规范化执行。</w:t>
      </w:r>
    </w:p>
    <w:p w14:paraId="13A9876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*配时计算软件工具</w:t>
      </w:r>
    </w:p>
    <w:p w14:paraId="3C68770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配时工作流程中，涉及数据处理、计算、生成报表等大量工作，利用配时计算软件工具，辅助完成复杂的计算工作，实现精确计算，提高效率。</w:t>
      </w:r>
      <w:bookmarkStart w:id="48" w:name="_Toc46423126"/>
    </w:p>
    <w:p w14:paraId="3A6B005E">
      <w:pPr>
        <w:spacing w:line="360" w:lineRule="auto"/>
        <w:ind w:firstLine="420" w:firstLineChars="200"/>
        <w:rPr>
          <w:rFonts w:hint="eastAsia" w:ascii="仿宋" w:hAnsi="仿宋" w:eastAsia="仿宋" w:cs="仿宋"/>
          <w:sz w:val="21"/>
          <w:szCs w:val="21"/>
          <w:lang w:eastAsia="zh-CN"/>
        </w:rPr>
      </w:pPr>
      <w:bookmarkStart w:id="49" w:name="_Toc65185955"/>
      <w:r>
        <w:rPr>
          <w:rFonts w:hint="eastAsia" w:ascii="仿宋" w:hAnsi="仿宋" w:eastAsia="仿宋" w:cs="仿宋"/>
          <w:sz w:val="21"/>
          <w:szCs w:val="21"/>
          <w:lang w:eastAsia="zh-CN"/>
        </w:rPr>
        <w:t>五、建设方案</w:t>
      </w:r>
      <w:bookmarkEnd w:id="48"/>
      <w:bookmarkEnd w:id="49"/>
    </w:p>
    <w:p w14:paraId="04DF7DB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交通信号优化配时中心建设目标“以业务为重点、以数据为核心、以共享为目标、以服务为宗旨、按阶段开展建设”。</w:t>
      </w:r>
    </w:p>
    <w:p w14:paraId="75635A1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力争促进交通综合治堵工作中各项子业务间的人力信息资源共享，有效解决“信息孤岛”和重复投入，最大可能的挖掘利用资源的价值。</w:t>
      </w:r>
    </w:p>
    <w:p w14:paraId="42AF3B2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通过实施本项目，将有效整合资源，健全服务机制，实现交通治堵工作由“技术工作”与“管理工作”兼顾，“粗放型管理”向“精细型管理”转变，最终实现科学、合理治堵。</w:t>
      </w:r>
    </w:p>
    <w:p w14:paraId="609E80FE">
      <w:pPr>
        <w:spacing w:line="360" w:lineRule="auto"/>
        <w:ind w:firstLine="420" w:firstLineChars="200"/>
        <w:rPr>
          <w:rFonts w:hint="eastAsia" w:ascii="仿宋" w:hAnsi="仿宋" w:eastAsia="仿宋" w:cs="仿宋"/>
          <w:sz w:val="21"/>
          <w:szCs w:val="21"/>
          <w:lang w:eastAsia="zh-CN"/>
        </w:rPr>
      </w:pPr>
      <w:bookmarkStart w:id="50" w:name="_Toc65185956"/>
      <w:r>
        <w:rPr>
          <w:rFonts w:hint="eastAsia" w:ascii="仿宋" w:hAnsi="仿宋" w:eastAsia="仿宋" w:cs="仿宋"/>
          <w:sz w:val="21"/>
          <w:szCs w:val="21"/>
          <w:lang w:eastAsia="zh-CN"/>
        </w:rPr>
        <w:t>5.1服务周期</w:t>
      </w:r>
      <w:bookmarkEnd w:id="50"/>
    </w:p>
    <w:p w14:paraId="08228A6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本项目的首次服务周期自服务合同生效之日起3年。后续应继续申报资金维持信号配时优化中心的运转。</w:t>
      </w:r>
    </w:p>
    <w:p w14:paraId="0B67FDA1">
      <w:pPr>
        <w:spacing w:line="360" w:lineRule="auto"/>
        <w:ind w:firstLine="420" w:firstLineChars="200"/>
        <w:rPr>
          <w:rFonts w:hint="eastAsia" w:ascii="仿宋" w:hAnsi="仿宋" w:eastAsia="仿宋" w:cs="仿宋"/>
          <w:sz w:val="21"/>
          <w:szCs w:val="21"/>
          <w:lang w:eastAsia="zh-CN"/>
        </w:rPr>
      </w:pPr>
      <w:bookmarkStart w:id="51" w:name="_Toc65185957"/>
      <w:bookmarkStart w:id="52" w:name="_Toc46423128"/>
      <w:bookmarkStart w:id="53" w:name="_Toc417393648"/>
      <w:bookmarkStart w:id="54" w:name="_Toc469173331"/>
      <w:bookmarkStart w:id="55" w:name="_Toc372059442"/>
      <w:bookmarkStart w:id="56" w:name="_Toc417393642"/>
      <w:bookmarkStart w:id="57" w:name="_Toc469173325"/>
      <w:bookmarkStart w:id="58" w:name="_Toc372059437"/>
      <w:r>
        <w:rPr>
          <w:rFonts w:hint="eastAsia" w:ascii="仿宋" w:hAnsi="仿宋" w:eastAsia="仿宋" w:cs="仿宋"/>
          <w:sz w:val="21"/>
          <w:szCs w:val="21"/>
          <w:lang w:eastAsia="zh-CN"/>
        </w:rPr>
        <w:t>5.2指导原则</w:t>
      </w:r>
      <w:bookmarkEnd w:id="51"/>
      <w:bookmarkEnd w:id="52"/>
      <w:bookmarkEnd w:id="53"/>
      <w:bookmarkEnd w:id="54"/>
      <w:bookmarkEnd w:id="55"/>
    </w:p>
    <w:p w14:paraId="70094B4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规范性原则。维护人员严格按照规定的维护流程进行维护等工作，严格遵守相关法规和相关工作要求，并做好维护记录和工作总结。</w:t>
      </w:r>
    </w:p>
    <w:p w14:paraId="6B6CB7C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安全性原则。维护要以保证系统数据安全、系统运行安全为前提，严格遵守保密协定，尊重用户利益，外场设备维护工作中，以保证维护人员人身安全为前提，做好防护措施，保证维护工作的顺利进行。</w:t>
      </w:r>
    </w:p>
    <w:p w14:paraId="74832A6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高效原则。建立系统维护的快速响应机制，保证业务问题解答、系统故障排除、重大故障的现场处理、紧急工作任务处理等在用户要求的时间内完成</w:t>
      </w:r>
    </w:p>
    <w:p w14:paraId="66BA249E">
      <w:pPr>
        <w:spacing w:line="360" w:lineRule="auto"/>
        <w:ind w:firstLine="420" w:firstLineChars="200"/>
        <w:rPr>
          <w:rFonts w:hint="eastAsia" w:ascii="仿宋" w:hAnsi="仿宋" w:eastAsia="仿宋" w:cs="仿宋"/>
          <w:sz w:val="21"/>
          <w:szCs w:val="21"/>
          <w:lang w:eastAsia="zh-CN"/>
        </w:rPr>
      </w:pPr>
      <w:bookmarkStart w:id="59" w:name="_Toc65185958"/>
      <w:bookmarkStart w:id="60" w:name="_Toc46423129"/>
      <w:r>
        <w:rPr>
          <w:rFonts w:hint="eastAsia" w:ascii="仿宋" w:hAnsi="仿宋" w:eastAsia="仿宋" w:cs="仿宋"/>
          <w:sz w:val="21"/>
          <w:szCs w:val="21"/>
          <w:lang w:eastAsia="zh-CN"/>
        </w:rPr>
        <w:t>5.3项目服务目标</w:t>
      </w:r>
      <w:bookmarkEnd w:id="56"/>
      <w:bookmarkEnd w:id="57"/>
      <w:bookmarkEnd w:id="58"/>
      <w:bookmarkEnd w:id="59"/>
      <w:bookmarkEnd w:id="60"/>
    </w:p>
    <w:p w14:paraId="35F4A8D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本项目是对高邮市交通信号优化配时中心进行运维优化服务，目的是对道路交通信号控制方面进行挖潜，并对已优化的路口进行跟踪维护，以更有效地解决目前由于机动车数量过快增长、出行需求大等问题而造成的路网交通运行压力过大，道路硬件资源增长失衡这一问题。具体要达成的目标内容包括以下几方面：</w:t>
      </w:r>
    </w:p>
    <w:p w14:paraId="7A03D98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规范信号优化工作流程，落实责任，对交通信号控制路口及其控制模式进行统计、分类，建立统一化与个性化相结合的交通信号管理模式，保证交通信号合理运行，满足各种条件下道路交通参与者的通行需要。</w:t>
      </w:r>
    </w:p>
    <w:p w14:paraId="38AB97B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通过对相关路口进行周期性调查，及时发现存在不足并予以改善、跟踪，从而不断提高其运行水平。</w:t>
      </w:r>
    </w:p>
    <w:p w14:paraId="480CD14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通过利用第三方软件进行针对性的研究，以实现较高水平的信号协调及自适应能力。</w:t>
      </w:r>
    </w:p>
    <w:p w14:paraId="77AF574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根据报纸、电视、微博、电话、微信、邮件、信访等舆论媒体及运维系统等各渠道所提的交通信号问题，有针对性地进行优化。</w:t>
      </w:r>
    </w:p>
    <w:p w14:paraId="279067D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通过建立信号优化团队，满足大型团体活动、节假日期间交通流突变的需求。</w:t>
      </w:r>
    </w:p>
    <w:p w14:paraId="02D6F4B0">
      <w:pPr>
        <w:spacing w:line="360" w:lineRule="auto"/>
        <w:ind w:firstLine="420" w:firstLineChars="200"/>
        <w:rPr>
          <w:rFonts w:hint="eastAsia" w:ascii="仿宋" w:hAnsi="仿宋" w:eastAsia="仿宋" w:cs="仿宋"/>
          <w:sz w:val="21"/>
          <w:szCs w:val="21"/>
          <w:lang w:eastAsia="zh-CN"/>
        </w:rPr>
      </w:pPr>
      <w:bookmarkStart w:id="61" w:name="_Toc65185959"/>
      <w:bookmarkStart w:id="62" w:name="_Toc46423130"/>
      <w:r>
        <w:rPr>
          <w:rFonts w:hint="eastAsia" w:ascii="仿宋" w:hAnsi="仿宋" w:eastAsia="仿宋" w:cs="仿宋"/>
          <w:sz w:val="21"/>
          <w:szCs w:val="21"/>
          <w:lang w:eastAsia="zh-CN"/>
        </w:rPr>
        <w:t>5.4交通信号优化配时中心运维服务内容</w:t>
      </w:r>
      <w:bookmarkEnd w:id="61"/>
      <w:bookmarkEnd w:id="62"/>
    </w:p>
    <w:p w14:paraId="30B41851">
      <w:pPr>
        <w:spacing w:after="240" w:line="360" w:lineRule="auto"/>
        <w:jc w:val="center"/>
        <w:rPr>
          <w:rFonts w:hint="eastAsia" w:ascii="仿宋" w:hAnsi="仿宋" w:eastAsia="仿宋" w:cs="仿宋"/>
          <w:b/>
          <w:sz w:val="24"/>
          <w:szCs w:val="24"/>
          <w:lang w:bidi="en-US"/>
        </w:rPr>
      </w:pPr>
      <w:r>
        <w:rPr>
          <w:rFonts w:hint="eastAsia" w:ascii="仿宋" w:hAnsi="仿宋" w:eastAsia="仿宋" w:cs="仿宋"/>
          <w:b/>
          <w:sz w:val="21"/>
          <w:szCs w:val="21"/>
          <w:lang w:bidi="en-US"/>
        </w:rPr>
        <w:t>服务内容一览表</w:t>
      </w:r>
    </w:p>
    <w:tbl>
      <w:tblPr>
        <w:tblStyle w:val="40"/>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1751"/>
        <w:gridCol w:w="7031"/>
      </w:tblGrid>
      <w:tr w14:paraId="1A02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878" w:type="dxa"/>
            <w:shd w:val="clear" w:color="000000" w:fill="FBE4D5"/>
            <w:vAlign w:val="center"/>
          </w:tcPr>
          <w:p w14:paraId="0F0BCC33">
            <w:pPr>
              <w:widowControl/>
              <w:spacing w:line="240" w:lineRule="auto"/>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序号</w:t>
            </w:r>
          </w:p>
        </w:tc>
        <w:tc>
          <w:tcPr>
            <w:tcW w:w="1751" w:type="dxa"/>
            <w:shd w:val="clear" w:color="000000" w:fill="FBE4D5"/>
            <w:vAlign w:val="center"/>
          </w:tcPr>
          <w:p w14:paraId="748B84FB">
            <w:pPr>
              <w:widowControl/>
              <w:spacing w:line="240" w:lineRule="auto"/>
              <w:jc w:val="left"/>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主要工作内容</w:t>
            </w:r>
          </w:p>
        </w:tc>
        <w:tc>
          <w:tcPr>
            <w:tcW w:w="7031" w:type="dxa"/>
            <w:shd w:val="clear" w:color="000000" w:fill="FBE4D5"/>
            <w:vAlign w:val="center"/>
          </w:tcPr>
          <w:p w14:paraId="3F793B08">
            <w:pPr>
              <w:widowControl/>
              <w:spacing w:line="240" w:lineRule="auto"/>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工作要点</w:t>
            </w:r>
          </w:p>
        </w:tc>
      </w:tr>
      <w:tr w14:paraId="003AE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660" w:type="dxa"/>
            <w:gridSpan w:val="3"/>
            <w:shd w:val="clear" w:color="000000" w:fill="EEECE1"/>
            <w:vAlign w:val="center"/>
          </w:tcPr>
          <w:p w14:paraId="72B77CC1">
            <w:pPr>
              <w:widowControl/>
              <w:spacing w:line="240" w:lineRule="auto"/>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1.日常运营管理</w:t>
            </w:r>
          </w:p>
        </w:tc>
      </w:tr>
      <w:tr w14:paraId="4B14C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3E27769A">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1.1</w:t>
            </w:r>
          </w:p>
        </w:tc>
        <w:tc>
          <w:tcPr>
            <w:tcW w:w="1751" w:type="dxa"/>
            <w:vMerge w:val="restart"/>
            <w:vAlign w:val="center"/>
          </w:tcPr>
          <w:p w14:paraId="604F8EF7">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日常路口管理流程化、规范化</w:t>
            </w:r>
          </w:p>
        </w:tc>
        <w:tc>
          <w:tcPr>
            <w:tcW w:w="7031" w:type="dxa"/>
            <w:vAlign w:val="center"/>
          </w:tcPr>
          <w:p w14:paraId="7D2D3440">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1.1.1建立标准化流程和关键技术工作流编制</w:t>
            </w:r>
          </w:p>
        </w:tc>
      </w:tr>
      <w:tr w14:paraId="5C677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65C7ED63">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67C41F0A">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51399A5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1.1.2交通信号控制系统日常操作指南汇编</w:t>
            </w:r>
          </w:p>
        </w:tc>
      </w:tr>
      <w:tr w14:paraId="242BD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7080F476">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53E8E128">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7F2C5863">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1.1.3总结现有交通信号控制理论及相关技术</w:t>
            </w:r>
          </w:p>
        </w:tc>
      </w:tr>
      <w:tr w14:paraId="05C7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7254A58A">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1.2</w:t>
            </w:r>
          </w:p>
        </w:tc>
        <w:tc>
          <w:tcPr>
            <w:tcW w:w="1751" w:type="dxa"/>
            <w:vMerge w:val="restart"/>
            <w:vAlign w:val="center"/>
          </w:tcPr>
          <w:p w14:paraId="1531C1CD">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日常中心值班</w:t>
            </w:r>
          </w:p>
        </w:tc>
        <w:tc>
          <w:tcPr>
            <w:tcW w:w="7031" w:type="dxa"/>
            <w:vAlign w:val="center"/>
          </w:tcPr>
          <w:p w14:paraId="577AEE75">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1.2.1关注近期实施优化路口，后续跟踪</w:t>
            </w:r>
          </w:p>
        </w:tc>
      </w:tr>
      <w:tr w14:paraId="098CF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2A09A5A3">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6D1826FD">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50FAE796">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1.2.2交通黑点和交通拥堵点，把控早晚高峰道路情况</w:t>
            </w:r>
          </w:p>
        </w:tc>
      </w:tr>
      <w:tr w14:paraId="10CC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4E038F37">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29C10DB8">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2E24B90D">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1.2.3主动找出有优化空间的路口进行优化</w:t>
            </w:r>
          </w:p>
        </w:tc>
      </w:tr>
      <w:tr w14:paraId="5D25F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5E3352D4">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1.3</w:t>
            </w:r>
          </w:p>
        </w:tc>
        <w:tc>
          <w:tcPr>
            <w:tcW w:w="1751" w:type="dxa"/>
            <w:vMerge w:val="restart"/>
            <w:vAlign w:val="center"/>
          </w:tcPr>
          <w:p w14:paraId="58B4F36B">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警卫方案、特勤预案设计与保障</w:t>
            </w:r>
          </w:p>
        </w:tc>
        <w:tc>
          <w:tcPr>
            <w:tcW w:w="7031" w:type="dxa"/>
            <w:vAlign w:val="center"/>
          </w:tcPr>
          <w:p w14:paraId="1FBB6206">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1.3.1沟通确定常用警卫及特勤路线</w:t>
            </w:r>
          </w:p>
        </w:tc>
      </w:tr>
      <w:tr w14:paraId="6763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61EE2D4D">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3C13A311">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7BCBF32B">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1.3.2技术人员充分调研选定路线</w:t>
            </w:r>
          </w:p>
        </w:tc>
      </w:tr>
      <w:tr w14:paraId="32E7A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239896A4">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07D74C6D">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767DA25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1.3.3针对路线沿线及周边交通情况设计警卫方案</w:t>
            </w:r>
          </w:p>
        </w:tc>
      </w:tr>
      <w:tr w14:paraId="2221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78" w:type="dxa"/>
            <w:vMerge w:val="continue"/>
            <w:vAlign w:val="center"/>
          </w:tcPr>
          <w:p w14:paraId="29DCC3AB">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6FD4B325">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557914CD">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1.3.4执行警卫特勤任务时，技术人员按要求同步监察特勤路线执行情况。</w:t>
            </w:r>
          </w:p>
        </w:tc>
      </w:tr>
      <w:tr w14:paraId="6F9A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2EA0B58F">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1.4</w:t>
            </w:r>
          </w:p>
        </w:tc>
        <w:tc>
          <w:tcPr>
            <w:tcW w:w="1751" w:type="dxa"/>
            <w:vMerge w:val="restart"/>
            <w:vAlign w:val="center"/>
          </w:tcPr>
          <w:p w14:paraId="753D7BE5">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重要节假日、大型群众活动专项交通保障</w:t>
            </w:r>
          </w:p>
        </w:tc>
        <w:tc>
          <w:tcPr>
            <w:tcW w:w="7031" w:type="dxa"/>
            <w:vAlign w:val="center"/>
          </w:tcPr>
          <w:p w14:paraId="3D49372E">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1.4.1节假日交通组织与信号控制优化</w:t>
            </w:r>
          </w:p>
        </w:tc>
      </w:tr>
      <w:tr w14:paraId="138D4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7D02ABE2">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1AB317E7">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5E5660D4">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1.4.2重大活动的交通组织优化预案</w:t>
            </w:r>
          </w:p>
        </w:tc>
      </w:tr>
      <w:tr w14:paraId="52B45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660" w:type="dxa"/>
            <w:gridSpan w:val="3"/>
            <w:shd w:val="clear" w:color="000000" w:fill="EEECE1"/>
            <w:vAlign w:val="center"/>
          </w:tcPr>
          <w:p w14:paraId="632218E0">
            <w:pPr>
              <w:widowControl/>
              <w:spacing w:line="240" w:lineRule="auto"/>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2.实时问题发现</w:t>
            </w:r>
          </w:p>
        </w:tc>
      </w:tr>
      <w:tr w14:paraId="0D093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38AFAD97">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2.1</w:t>
            </w:r>
          </w:p>
        </w:tc>
        <w:tc>
          <w:tcPr>
            <w:tcW w:w="1751" w:type="dxa"/>
            <w:vMerge w:val="restart"/>
            <w:vAlign w:val="center"/>
          </w:tcPr>
          <w:p w14:paraId="5172568A">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路口基础信息台账管理</w:t>
            </w:r>
          </w:p>
        </w:tc>
        <w:tc>
          <w:tcPr>
            <w:tcW w:w="7031" w:type="dxa"/>
            <w:vAlign w:val="center"/>
          </w:tcPr>
          <w:p w14:paraId="497516D7">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2.1.1交通信号基础设施台账管理工作</w:t>
            </w:r>
          </w:p>
        </w:tc>
      </w:tr>
      <w:tr w14:paraId="52F0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419E0C47">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7DCB3B99">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0C9F1E16">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2.1.2利用管理系统软件实现台账管理工作</w:t>
            </w:r>
          </w:p>
        </w:tc>
      </w:tr>
      <w:tr w14:paraId="0C3A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074DFEB4">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2.2</w:t>
            </w:r>
          </w:p>
        </w:tc>
        <w:tc>
          <w:tcPr>
            <w:tcW w:w="1751" w:type="dxa"/>
            <w:vMerge w:val="restart"/>
            <w:vAlign w:val="center"/>
          </w:tcPr>
          <w:p w14:paraId="5ADA7DC0">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信号控制路口周期巡查</w:t>
            </w:r>
          </w:p>
        </w:tc>
        <w:tc>
          <w:tcPr>
            <w:tcW w:w="7031" w:type="dxa"/>
            <w:vAlign w:val="center"/>
          </w:tcPr>
          <w:p w14:paraId="7DAD2753">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2.2.1路面巡查</w:t>
            </w:r>
          </w:p>
        </w:tc>
      </w:tr>
      <w:tr w14:paraId="3ED13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47EA5451">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624A36AB">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5367361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2.2.2视频监控巡查</w:t>
            </w:r>
          </w:p>
        </w:tc>
      </w:tr>
      <w:tr w14:paraId="31DA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414DDD5E">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2.3</w:t>
            </w:r>
          </w:p>
        </w:tc>
        <w:tc>
          <w:tcPr>
            <w:tcW w:w="1751" w:type="dxa"/>
            <w:vMerge w:val="restart"/>
            <w:vAlign w:val="center"/>
          </w:tcPr>
          <w:p w14:paraId="1691AC44">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舆情管理</w:t>
            </w:r>
          </w:p>
        </w:tc>
        <w:tc>
          <w:tcPr>
            <w:tcW w:w="7031" w:type="dxa"/>
            <w:vAlign w:val="center"/>
          </w:tcPr>
          <w:p w14:paraId="7CCB9B1F">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2.3.1管理路口投诉问题的收集及整理</w:t>
            </w:r>
          </w:p>
        </w:tc>
      </w:tr>
      <w:tr w14:paraId="231C0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3D7D4A6C">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567949FB">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40EAEB97">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2.3.2舆情问题的处理</w:t>
            </w:r>
          </w:p>
        </w:tc>
      </w:tr>
      <w:tr w14:paraId="6CBBA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16A167C7">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368043E5">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081FEF4D">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2.3.3舆情问题的回复</w:t>
            </w:r>
          </w:p>
        </w:tc>
      </w:tr>
      <w:tr w14:paraId="0C1E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11ECB20C">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30968ED0">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72E00CE7">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2.3.4建立舆情管理工作流程</w:t>
            </w:r>
          </w:p>
        </w:tc>
      </w:tr>
      <w:tr w14:paraId="3A4B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78" w:type="dxa"/>
            <w:vAlign w:val="center"/>
          </w:tcPr>
          <w:p w14:paraId="58C28CB7">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2.4</w:t>
            </w:r>
          </w:p>
        </w:tc>
        <w:tc>
          <w:tcPr>
            <w:tcW w:w="1751" w:type="dxa"/>
            <w:vAlign w:val="center"/>
          </w:tcPr>
          <w:p w14:paraId="7FB04761">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互联网大数据+交通流量监测、预测</w:t>
            </w:r>
          </w:p>
        </w:tc>
        <w:tc>
          <w:tcPr>
            <w:tcW w:w="7031" w:type="dxa"/>
            <w:vAlign w:val="center"/>
          </w:tcPr>
          <w:p w14:paraId="0AE5A486">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2.4.1应用互联网大数据+交通流量进行道路运行情况监测、预测</w:t>
            </w:r>
          </w:p>
        </w:tc>
      </w:tr>
      <w:tr w14:paraId="1E9B6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660" w:type="dxa"/>
            <w:gridSpan w:val="3"/>
            <w:shd w:val="clear" w:color="000000" w:fill="EEECE1"/>
            <w:vAlign w:val="center"/>
          </w:tcPr>
          <w:p w14:paraId="655BCE63">
            <w:pPr>
              <w:widowControl/>
              <w:spacing w:line="240" w:lineRule="auto"/>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3.全方位问题解决</w:t>
            </w:r>
          </w:p>
        </w:tc>
      </w:tr>
      <w:tr w14:paraId="71B4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0CE7787A">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3.1</w:t>
            </w:r>
          </w:p>
        </w:tc>
        <w:tc>
          <w:tcPr>
            <w:tcW w:w="1751" w:type="dxa"/>
            <w:vMerge w:val="restart"/>
            <w:vAlign w:val="center"/>
          </w:tcPr>
          <w:p w14:paraId="06C58576">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单点路口信号控制方案设计</w:t>
            </w:r>
          </w:p>
        </w:tc>
        <w:tc>
          <w:tcPr>
            <w:tcW w:w="7031" w:type="dxa"/>
            <w:vAlign w:val="center"/>
          </w:tcPr>
          <w:p w14:paraId="5ECFAF10">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3.1.1问题路口的发现与确定</w:t>
            </w:r>
          </w:p>
        </w:tc>
      </w:tr>
      <w:tr w14:paraId="5DF5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7675512C">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481F0DDC">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41F75B1E">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3.1.2现状资料收集及分析</w:t>
            </w:r>
          </w:p>
        </w:tc>
      </w:tr>
      <w:tr w14:paraId="5EB0B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3790E5F3">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567F08EA">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2DF94EF0">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3.1.3改善方案的制定与确定</w:t>
            </w:r>
          </w:p>
        </w:tc>
      </w:tr>
      <w:tr w14:paraId="684A0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27626B31">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3.2</w:t>
            </w:r>
          </w:p>
        </w:tc>
        <w:tc>
          <w:tcPr>
            <w:tcW w:w="1751" w:type="dxa"/>
            <w:vMerge w:val="restart"/>
            <w:vAlign w:val="center"/>
          </w:tcPr>
          <w:p w14:paraId="4E3CC937">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交通信号协调控制方案设计</w:t>
            </w:r>
          </w:p>
        </w:tc>
        <w:tc>
          <w:tcPr>
            <w:tcW w:w="7031" w:type="dxa"/>
            <w:vAlign w:val="center"/>
          </w:tcPr>
          <w:p w14:paraId="56089A6E">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3.2.1制定交通信号协调控制优化工作流程</w:t>
            </w:r>
          </w:p>
        </w:tc>
      </w:tr>
      <w:tr w14:paraId="71473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335E47E9">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47FC5C10">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5C798CC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3.2.2道路交通信号协调控制优化</w:t>
            </w:r>
          </w:p>
        </w:tc>
      </w:tr>
      <w:tr w14:paraId="08F55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0EE03021">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2AB27663">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5BF64FD8">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3.2.3运用绿波带计算工具辅助设计</w:t>
            </w:r>
          </w:p>
        </w:tc>
      </w:tr>
      <w:tr w14:paraId="2F86E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60CB1D69">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4B00E4E2">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1EE4D390">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3.2.4道路协调情况效果跟踪</w:t>
            </w:r>
          </w:p>
        </w:tc>
      </w:tr>
      <w:tr w14:paraId="075A7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4C1D38F8">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3.3</w:t>
            </w:r>
          </w:p>
        </w:tc>
        <w:tc>
          <w:tcPr>
            <w:tcW w:w="1751" w:type="dxa"/>
            <w:vMerge w:val="restart"/>
            <w:vAlign w:val="center"/>
          </w:tcPr>
          <w:p w14:paraId="21904475">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问题路口日常调优</w:t>
            </w:r>
          </w:p>
        </w:tc>
        <w:tc>
          <w:tcPr>
            <w:tcW w:w="7031" w:type="dxa"/>
            <w:vAlign w:val="center"/>
          </w:tcPr>
          <w:p w14:paraId="3CDEAD5C">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3.3.1问题路口交通基础信息调查</w:t>
            </w:r>
          </w:p>
        </w:tc>
      </w:tr>
      <w:tr w14:paraId="05DD5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2E71C471">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35E0CA2A">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5803CF10">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3.3.2问题路口交通信号控制方案优化设计</w:t>
            </w:r>
          </w:p>
        </w:tc>
      </w:tr>
      <w:tr w14:paraId="618E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446CC756">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7A382E6C">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041BDF42">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3.3.3问题路口交通信号控制方案下发实施</w:t>
            </w:r>
          </w:p>
        </w:tc>
      </w:tr>
      <w:tr w14:paraId="51E96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4F4CD70E">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0F864296">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1A73CE3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3.3.4问题路口交通信号控制方案实施效果跟踪</w:t>
            </w:r>
          </w:p>
        </w:tc>
      </w:tr>
      <w:tr w14:paraId="7693F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5E46E004">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3.4</w:t>
            </w:r>
          </w:p>
        </w:tc>
        <w:tc>
          <w:tcPr>
            <w:tcW w:w="1751" w:type="dxa"/>
            <w:vMerge w:val="restart"/>
            <w:vAlign w:val="center"/>
          </w:tcPr>
          <w:p w14:paraId="5AB94BC6">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区域交通控制优化</w:t>
            </w:r>
          </w:p>
        </w:tc>
        <w:tc>
          <w:tcPr>
            <w:tcW w:w="7031" w:type="dxa"/>
            <w:vAlign w:val="center"/>
          </w:tcPr>
          <w:p w14:paraId="2A55513E">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3.4.1区域交通控制适用条件归纳</w:t>
            </w:r>
          </w:p>
        </w:tc>
      </w:tr>
      <w:tr w14:paraId="09E16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4801E97D">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45684F1D">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5EF0B82F">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3.4.2信号子区划分</w:t>
            </w:r>
          </w:p>
        </w:tc>
      </w:tr>
      <w:tr w14:paraId="64B23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578034FC">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06731DD0">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40443483">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3.4.3区域交通控制策略制定</w:t>
            </w:r>
          </w:p>
        </w:tc>
      </w:tr>
      <w:tr w14:paraId="1D5BD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660" w:type="dxa"/>
            <w:gridSpan w:val="3"/>
            <w:shd w:val="clear" w:color="000000" w:fill="EEECE1"/>
            <w:vAlign w:val="center"/>
          </w:tcPr>
          <w:p w14:paraId="7B8DB8A4">
            <w:pPr>
              <w:widowControl/>
              <w:spacing w:line="240" w:lineRule="auto"/>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4.多元化成果评价</w:t>
            </w:r>
          </w:p>
        </w:tc>
      </w:tr>
      <w:tr w14:paraId="12D1D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shd w:val="clear" w:color="auto" w:fill="auto"/>
            <w:vAlign w:val="center"/>
          </w:tcPr>
          <w:p w14:paraId="742B8895">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4.1</w:t>
            </w:r>
          </w:p>
        </w:tc>
        <w:tc>
          <w:tcPr>
            <w:tcW w:w="1751" w:type="dxa"/>
            <w:vMerge w:val="restart"/>
            <w:shd w:val="clear" w:color="auto" w:fill="auto"/>
            <w:vAlign w:val="center"/>
          </w:tcPr>
          <w:p w14:paraId="4445520A">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路口信号控制方案交通仿真分析</w:t>
            </w:r>
          </w:p>
        </w:tc>
        <w:tc>
          <w:tcPr>
            <w:tcW w:w="7031" w:type="dxa"/>
            <w:shd w:val="clear" w:color="000000" w:fill="FFFFFF"/>
            <w:vAlign w:val="center"/>
          </w:tcPr>
          <w:p w14:paraId="5084DC4D">
            <w:pPr>
              <w:widowControl/>
              <w:spacing w:line="240" w:lineRule="auto"/>
              <w:rPr>
                <w:rFonts w:hint="eastAsia" w:ascii="仿宋" w:hAnsi="仿宋" w:eastAsia="仿宋" w:cs="仿宋"/>
                <w:kern w:val="0"/>
                <w:sz w:val="21"/>
                <w:szCs w:val="21"/>
              </w:rPr>
            </w:pPr>
            <w:r>
              <w:rPr>
                <w:rFonts w:hint="eastAsia" w:ascii="仿宋" w:hAnsi="仿宋" w:eastAsia="仿宋" w:cs="仿宋"/>
                <w:kern w:val="0"/>
                <w:sz w:val="21"/>
                <w:szCs w:val="21"/>
              </w:rPr>
              <w:t>4.1.1区域交通组织优化的仿真分析</w:t>
            </w:r>
          </w:p>
        </w:tc>
      </w:tr>
      <w:tr w14:paraId="1DC1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shd w:val="clear" w:color="auto" w:fill="auto"/>
            <w:vAlign w:val="center"/>
          </w:tcPr>
          <w:p w14:paraId="54457B6B">
            <w:pPr>
              <w:widowControl/>
              <w:spacing w:line="240" w:lineRule="auto"/>
              <w:jc w:val="left"/>
              <w:rPr>
                <w:rFonts w:hint="eastAsia" w:ascii="仿宋" w:hAnsi="仿宋" w:eastAsia="仿宋" w:cs="仿宋"/>
                <w:color w:val="000000"/>
                <w:kern w:val="0"/>
                <w:sz w:val="21"/>
                <w:szCs w:val="21"/>
              </w:rPr>
            </w:pPr>
          </w:p>
        </w:tc>
        <w:tc>
          <w:tcPr>
            <w:tcW w:w="1751" w:type="dxa"/>
            <w:vMerge w:val="continue"/>
            <w:shd w:val="clear" w:color="auto" w:fill="auto"/>
            <w:vAlign w:val="center"/>
          </w:tcPr>
          <w:p w14:paraId="28FB85BE">
            <w:pPr>
              <w:widowControl/>
              <w:spacing w:line="240" w:lineRule="auto"/>
              <w:jc w:val="left"/>
              <w:rPr>
                <w:rFonts w:hint="eastAsia" w:ascii="仿宋" w:hAnsi="仿宋" w:eastAsia="仿宋" w:cs="仿宋"/>
                <w:color w:val="000000"/>
                <w:kern w:val="0"/>
                <w:sz w:val="21"/>
                <w:szCs w:val="21"/>
              </w:rPr>
            </w:pPr>
          </w:p>
        </w:tc>
        <w:tc>
          <w:tcPr>
            <w:tcW w:w="7031" w:type="dxa"/>
            <w:shd w:val="clear" w:color="000000" w:fill="FFFFFF"/>
            <w:vAlign w:val="center"/>
          </w:tcPr>
          <w:p w14:paraId="5167E845">
            <w:pPr>
              <w:widowControl/>
              <w:spacing w:line="240" w:lineRule="auto"/>
              <w:rPr>
                <w:rFonts w:hint="eastAsia" w:ascii="仿宋" w:hAnsi="仿宋" w:eastAsia="仿宋" w:cs="仿宋"/>
                <w:kern w:val="0"/>
                <w:sz w:val="21"/>
                <w:szCs w:val="21"/>
              </w:rPr>
            </w:pPr>
            <w:r>
              <w:rPr>
                <w:rFonts w:hint="eastAsia" w:ascii="仿宋" w:hAnsi="仿宋" w:eastAsia="仿宋" w:cs="仿宋"/>
                <w:kern w:val="0"/>
                <w:sz w:val="21"/>
                <w:szCs w:val="21"/>
              </w:rPr>
              <w:t>4.1.2关键交叉口交通仿真分析评价</w:t>
            </w:r>
          </w:p>
        </w:tc>
      </w:tr>
      <w:tr w14:paraId="0D6A9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shd w:val="clear" w:color="auto" w:fill="auto"/>
            <w:vAlign w:val="center"/>
          </w:tcPr>
          <w:p w14:paraId="2357DC5E">
            <w:pPr>
              <w:widowControl/>
              <w:spacing w:line="240" w:lineRule="auto"/>
              <w:jc w:val="left"/>
              <w:rPr>
                <w:rFonts w:hint="eastAsia" w:ascii="仿宋" w:hAnsi="仿宋" w:eastAsia="仿宋" w:cs="仿宋"/>
                <w:color w:val="000000"/>
                <w:kern w:val="0"/>
                <w:sz w:val="21"/>
                <w:szCs w:val="21"/>
              </w:rPr>
            </w:pPr>
          </w:p>
        </w:tc>
        <w:tc>
          <w:tcPr>
            <w:tcW w:w="1751" w:type="dxa"/>
            <w:vMerge w:val="continue"/>
            <w:shd w:val="clear" w:color="auto" w:fill="auto"/>
            <w:vAlign w:val="center"/>
          </w:tcPr>
          <w:p w14:paraId="46B2DC8E">
            <w:pPr>
              <w:widowControl/>
              <w:spacing w:line="240" w:lineRule="auto"/>
              <w:jc w:val="left"/>
              <w:rPr>
                <w:rFonts w:hint="eastAsia" w:ascii="仿宋" w:hAnsi="仿宋" w:eastAsia="仿宋" w:cs="仿宋"/>
                <w:color w:val="000000"/>
                <w:kern w:val="0"/>
                <w:sz w:val="21"/>
                <w:szCs w:val="21"/>
              </w:rPr>
            </w:pPr>
          </w:p>
        </w:tc>
        <w:tc>
          <w:tcPr>
            <w:tcW w:w="7031" w:type="dxa"/>
            <w:shd w:val="clear" w:color="000000" w:fill="FFFFFF"/>
            <w:vAlign w:val="center"/>
          </w:tcPr>
          <w:p w14:paraId="671ABEF3">
            <w:pPr>
              <w:widowControl/>
              <w:spacing w:line="240" w:lineRule="auto"/>
              <w:rPr>
                <w:rFonts w:hint="eastAsia" w:ascii="仿宋" w:hAnsi="仿宋" w:eastAsia="仿宋" w:cs="仿宋"/>
                <w:kern w:val="0"/>
                <w:sz w:val="21"/>
                <w:szCs w:val="21"/>
              </w:rPr>
            </w:pPr>
            <w:r>
              <w:rPr>
                <w:rFonts w:hint="eastAsia" w:ascii="仿宋" w:hAnsi="仿宋" w:eastAsia="仿宋" w:cs="仿宋"/>
                <w:kern w:val="0"/>
                <w:sz w:val="21"/>
                <w:szCs w:val="21"/>
              </w:rPr>
              <w:t>4.1.3信号协调控制路段仿真分析</w:t>
            </w:r>
          </w:p>
        </w:tc>
      </w:tr>
      <w:tr w14:paraId="2F9E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878" w:type="dxa"/>
            <w:vAlign w:val="center"/>
          </w:tcPr>
          <w:p w14:paraId="131D7DAC">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4.2</w:t>
            </w:r>
          </w:p>
        </w:tc>
        <w:tc>
          <w:tcPr>
            <w:tcW w:w="1751" w:type="dxa"/>
            <w:vAlign w:val="center"/>
          </w:tcPr>
          <w:p w14:paraId="71DE9DA0">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互联网大数据+交通流量分析</w:t>
            </w:r>
          </w:p>
        </w:tc>
        <w:tc>
          <w:tcPr>
            <w:tcW w:w="7031" w:type="dxa"/>
            <w:vAlign w:val="center"/>
          </w:tcPr>
          <w:p w14:paraId="11F9E4E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4.2.1通过海量浮动车轨迹数据，收集路口延误，停车次数、路口指数等动态数据，对路口信号运行状态进行评价，时刻记录路口运行状态，对不同情况路口的运行情况进行对比评价。</w:t>
            </w:r>
          </w:p>
        </w:tc>
      </w:tr>
      <w:tr w14:paraId="0C109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660" w:type="dxa"/>
            <w:gridSpan w:val="3"/>
            <w:shd w:val="clear" w:color="000000" w:fill="EEECE1"/>
            <w:vAlign w:val="center"/>
          </w:tcPr>
          <w:p w14:paraId="0C8A6EF3">
            <w:pPr>
              <w:widowControl/>
              <w:spacing w:line="240" w:lineRule="auto"/>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5.成果展示与宣传</w:t>
            </w:r>
          </w:p>
        </w:tc>
      </w:tr>
      <w:tr w14:paraId="6CA09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78" w:type="dxa"/>
            <w:vAlign w:val="center"/>
          </w:tcPr>
          <w:p w14:paraId="25EA5151">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5.1</w:t>
            </w:r>
          </w:p>
        </w:tc>
        <w:tc>
          <w:tcPr>
            <w:tcW w:w="1751" w:type="dxa"/>
            <w:vAlign w:val="center"/>
          </w:tcPr>
          <w:p w14:paraId="36C9197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积极策划宣传亮点及对成果进行多媒体科普宣传</w:t>
            </w:r>
          </w:p>
        </w:tc>
        <w:tc>
          <w:tcPr>
            <w:tcW w:w="7031" w:type="dxa"/>
            <w:vAlign w:val="center"/>
          </w:tcPr>
          <w:p w14:paraId="4CA61F8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5.1.1积极策划宣传亮点及对成果进行多媒体科普宣传，增强公众参与度，营造良好的信号优化配时舆论氛围。</w:t>
            </w:r>
          </w:p>
        </w:tc>
      </w:tr>
      <w:tr w14:paraId="6B6B2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878" w:type="dxa"/>
            <w:vAlign w:val="center"/>
          </w:tcPr>
          <w:p w14:paraId="7A03BB98">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5.2</w:t>
            </w:r>
          </w:p>
        </w:tc>
        <w:tc>
          <w:tcPr>
            <w:tcW w:w="1751" w:type="dxa"/>
            <w:vAlign w:val="center"/>
          </w:tcPr>
          <w:p w14:paraId="3D0358B9">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建立信号优化配时“信息反馈机制”</w:t>
            </w:r>
          </w:p>
        </w:tc>
        <w:tc>
          <w:tcPr>
            <w:tcW w:w="7031" w:type="dxa"/>
            <w:vAlign w:val="center"/>
          </w:tcPr>
          <w:p w14:paraId="571AEC8B">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5.1.2制定方案积极应对互联网新媒体及传统媒体的信号优化配时相关问题，广泛采集社会各界信号优化配时相关意见和建议，建立信号优化配时“信息反馈机制”。</w:t>
            </w:r>
          </w:p>
        </w:tc>
      </w:tr>
      <w:tr w14:paraId="2817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660" w:type="dxa"/>
            <w:gridSpan w:val="3"/>
            <w:shd w:val="clear" w:color="000000" w:fill="EEECE1"/>
            <w:vAlign w:val="center"/>
          </w:tcPr>
          <w:p w14:paraId="7C3D47C7">
            <w:pPr>
              <w:widowControl/>
              <w:spacing w:line="240" w:lineRule="auto"/>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6.知识积累与应用</w:t>
            </w:r>
          </w:p>
        </w:tc>
      </w:tr>
      <w:tr w14:paraId="4278A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78" w:type="dxa"/>
            <w:vAlign w:val="center"/>
          </w:tcPr>
          <w:p w14:paraId="0BF37557">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6.1</w:t>
            </w:r>
          </w:p>
        </w:tc>
        <w:tc>
          <w:tcPr>
            <w:tcW w:w="1751" w:type="dxa"/>
            <w:vAlign w:val="center"/>
          </w:tcPr>
          <w:p w14:paraId="30C02D9E">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知识库辅助支撑</w:t>
            </w:r>
          </w:p>
        </w:tc>
        <w:tc>
          <w:tcPr>
            <w:tcW w:w="7031" w:type="dxa"/>
            <w:vAlign w:val="center"/>
          </w:tcPr>
          <w:p w14:paraId="207F1FC3">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6.1.1通过在知识库中进行检索，包括同类案例、方案、知识、标准等</w:t>
            </w:r>
          </w:p>
        </w:tc>
      </w:tr>
      <w:tr w14:paraId="2174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75B9F42A">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6.2</w:t>
            </w:r>
          </w:p>
        </w:tc>
        <w:tc>
          <w:tcPr>
            <w:tcW w:w="1751" w:type="dxa"/>
            <w:vMerge w:val="restart"/>
            <w:vAlign w:val="center"/>
          </w:tcPr>
          <w:p w14:paraId="4F4BB96F">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技术培训</w:t>
            </w:r>
          </w:p>
        </w:tc>
        <w:tc>
          <w:tcPr>
            <w:tcW w:w="7031" w:type="dxa"/>
            <w:vAlign w:val="center"/>
          </w:tcPr>
          <w:p w14:paraId="0A205FF8">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6.2.1信号控制相关专业培训</w:t>
            </w:r>
          </w:p>
        </w:tc>
      </w:tr>
      <w:tr w14:paraId="6D573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49EE14DD">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1594F679">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5568F18C">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6.2.2交通组织管理培训</w:t>
            </w:r>
          </w:p>
        </w:tc>
      </w:tr>
      <w:tr w14:paraId="1A82D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399E838C">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504B00C7">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4E2884AF">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6.2.3交通安全管理培训</w:t>
            </w:r>
          </w:p>
        </w:tc>
      </w:tr>
      <w:tr w14:paraId="25399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2DFC82D7">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4A3C593F">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6B58417A">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6.2.4交通标志标线设置培训</w:t>
            </w:r>
          </w:p>
        </w:tc>
      </w:tr>
      <w:tr w14:paraId="3DCD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57553301">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3218C6C3">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35E725D6">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6.2.5交通系统操作培训</w:t>
            </w:r>
          </w:p>
        </w:tc>
      </w:tr>
      <w:tr w14:paraId="7534E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53310B51">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678D4DF6">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4E8B082D">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6.2.6交通重点问题释疑培训</w:t>
            </w:r>
          </w:p>
        </w:tc>
      </w:tr>
      <w:tr w14:paraId="3EB85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376947CB">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480ED53C">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4F01989A">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6.2.7典型应用案例培训</w:t>
            </w:r>
          </w:p>
        </w:tc>
      </w:tr>
      <w:tr w14:paraId="54257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restart"/>
            <w:vAlign w:val="center"/>
          </w:tcPr>
          <w:p w14:paraId="15E274B5">
            <w:pPr>
              <w:widowControl/>
              <w:spacing w:line="240" w:lineRule="auto"/>
              <w:jc w:val="center"/>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6.3</w:t>
            </w:r>
          </w:p>
        </w:tc>
        <w:tc>
          <w:tcPr>
            <w:tcW w:w="1751" w:type="dxa"/>
            <w:vMerge w:val="restart"/>
            <w:vAlign w:val="center"/>
          </w:tcPr>
          <w:p w14:paraId="63FDC897">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交通信号特殊控制专题分析</w:t>
            </w:r>
          </w:p>
        </w:tc>
        <w:tc>
          <w:tcPr>
            <w:tcW w:w="7031" w:type="dxa"/>
            <w:vAlign w:val="center"/>
          </w:tcPr>
          <w:p w14:paraId="0A990DFA">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6.3.1信号控制系统功能研究</w:t>
            </w:r>
          </w:p>
        </w:tc>
      </w:tr>
      <w:tr w14:paraId="7C377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422C5439">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3D84092E">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172C2F24">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6.3.2干线协调和区域协调专题研究</w:t>
            </w:r>
          </w:p>
        </w:tc>
      </w:tr>
      <w:tr w14:paraId="7DEEC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8" w:type="dxa"/>
            <w:vMerge w:val="continue"/>
            <w:vAlign w:val="center"/>
          </w:tcPr>
          <w:p w14:paraId="153EDC51">
            <w:pPr>
              <w:widowControl/>
              <w:spacing w:line="240" w:lineRule="auto"/>
              <w:jc w:val="left"/>
              <w:rPr>
                <w:rFonts w:hint="eastAsia" w:ascii="仿宋" w:hAnsi="仿宋" w:eastAsia="仿宋" w:cs="仿宋"/>
                <w:color w:val="000000"/>
                <w:kern w:val="0"/>
                <w:sz w:val="21"/>
                <w:szCs w:val="21"/>
              </w:rPr>
            </w:pPr>
          </w:p>
        </w:tc>
        <w:tc>
          <w:tcPr>
            <w:tcW w:w="1751" w:type="dxa"/>
            <w:vMerge w:val="continue"/>
            <w:vAlign w:val="center"/>
          </w:tcPr>
          <w:p w14:paraId="71CFB27F">
            <w:pPr>
              <w:widowControl/>
              <w:spacing w:line="240" w:lineRule="auto"/>
              <w:jc w:val="left"/>
              <w:rPr>
                <w:rFonts w:hint="eastAsia" w:ascii="仿宋" w:hAnsi="仿宋" w:eastAsia="仿宋" w:cs="仿宋"/>
                <w:color w:val="000000"/>
                <w:kern w:val="0"/>
                <w:sz w:val="21"/>
                <w:szCs w:val="21"/>
              </w:rPr>
            </w:pPr>
          </w:p>
        </w:tc>
        <w:tc>
          <w:tcPr>
            <w:tcW w:w="7031" w:type="dxa"/>
            <w:vAlign w:val="center"/>
          </w:tcPr>
          <w:p w14:paraId="33C3A5EF">
            <w:pPr>
              <w:widowControl/>
              <w:spacing w:line="240" w:lineRule="auto"/>
              <w:jc w:val="left"/>
              <w:rPr>
                <w:rFonts w:hint="eastAsia" w:ascii="仿宋" w:hAnsi="仿宋" w:eastAsia="仿宋" w:cs="仿宋"/>
                <w:color w:val="000000"/>
                <w:kern w:val="0"/>
                <w:sz w:val="21"/>
                <w:szCs w:val="21"/>
              </w:rPr>
            </w:pPr>
            <w:r>
              <w:rPr>
                <w:rFonts w:hint="eastAsia" w:ascii="仿宋" w:hAnsi="仿宋" w:eastAsia="仿宋" w:cs="仿宋"/>
                <w:color w:val="000000"/>
                <w:kern w:val="0"/>
                <w:sz w:val="21"/>
                <w:szCs w:val="21"/>
              </w:rPr>
              <w:t>6.3.3潮汐车流控制优化</w:t>
            </w:r>
          </w:p>
        </w:tc>
      </w:tr>
    </w:tbl>
    <w:p w14:paraId="483AA10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5.4.1规范化日常运营管理</w:t>
      </w:r>
    </w:p>
    <w:p w14:paraId="07B8946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5.4.1.1日常管理流程化</w:t>
      </w:r>
    </w:p>
    <w:p w14:paraId="3A31101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*建立标准化流程和关键技术工作流编制</w:t>
      </w:r>
    </w:p>
    <w:p w14:paraId="027872A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在项目服务周期前期，制定交通信号控制系统日常工作的相关流程，完善配套模板，提高工作效率。</w:t>
      </w:r>
    </w:p>
    <w:p w14:paraId="3CB9533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*交通信号控制系统日常操作指南汇编</w:t>
      </w:r>
    </w:p>
    <w:p w14:paraId="0763A99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通过收集、整理信号控制系统操作的有关资料，形成各个层次用户、不同等级的有针对性操作指南，实现在日常工作中更加规范地进行信号控制系统操作，快速提高系统操作人员的水平。</w:t>
      </w:r>
    </w:p>
    <w:p w14:paraId="602888E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*总结现有交通信号控制理论及相关技术</w:t>
      </w:r>
    </w:p>
    <w:p w14:paraId="1EA8285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在项目实施期间总结现有的交通信号控制理论及技术，制定相关规范或模式。</w:t>
      </w:r>
    </w:p>
    <w:p w14:paraId="0C818E9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5.4.1.2日常中心值班</w:t>
      </w:r>
    </w:p>
    <w:p w14:paraId="5294477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*近期实施优化的路口/路段，进行早晚高峰的后续跟踪；</w:t>
      </w:r>
    </w:p>
    <w:p w14:paraId="3BAECEF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*交通黑点和交通拥堵点，及时把控早晚高峰道路情况，进行疏导优化；</w:t>
      </w:r>
    </w:p>
    <w:p w14:paraId="5E394B8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常调控/常锁的路口，找出存在优化空间的路口进行优化，因道路条件等确实无法优化的，提出调控的指导思路，或者通过设置预案以减少人为操控的随意性。日常中心值班值班，主要是关注近期有改动，实施优化方案的路口、各片区黑点和拥堵点，做到及时把控路口运行情况及运行效果，主动找出有优化空间的路口进行优化，对因为道路条件等确实不能优化的，提出调控的指导思路，或者通过设置预案以减少人为操控的随意性。</w:t>
      </w:r>
    </w:p>
    <w:p w14:paraId="0A5E237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值班关注内容</w:t>
      </w:r>
    </w:p>
    <w:p w14:paraId="482102A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近期实施优化的路口/路段，进行早晚高峰的后续跟踪；</w:t>
      </w:r>
    </w:p>
    <w:p w14:paraId="1815609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交通黑点和交通拥堵点，及时把控早晚高峰道路情况，进行疏导优化；</w:t>
      </w:r>
    </w:p>
    <w:p w14:paraId="6B80C51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常调控/常锁的路口，找出存在优化空间的路口进行优化，因道路条件等确实无法优化的，提出调控的指导思路，或者通过设置预案以减少人为操控的随意性。</w:t>
      </w:r>
    </w:p>
    <w:p w14:paraId="25738C7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值班记录表</w:t>
      </w:r>
    </w:p>
    <w:p w14:paraId="3E97FD0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日常优化工作登记</w:t>
      </w:r>
    </w:p>
    <w:p w14:paraId="1708FBF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主要根据路口问题及优化措施，进行针对性的早晚高峰跟进，观察优化效果是否良好，并在路口跟踪处登记路口运行情况、跟踪时间、跟踪人。</w:t>
      </w:r>
    </w:p>
    <w:p w14:paraId="01DF068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常干预路口一览表（各片区黑点/拥堵点列表）</w:t>
      </w:r>
    </w:p>
    <w:p w14:paraId="67389E1A">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主要针对提出的黑点/拥堵点列表，及时把控早晚高峰道路情况，主动发现问题，并及时进行优化、指引、预案设置。</w:t>
      </w:r>
    </w:p>
    <w:p w14:paraId="30FD970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重点关注路口问题登记表</w:t>
      </w:r>
    </w:p>
    <w:p w14:paraId="3443661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针对大队提出的黑点/拥堵点列表及片区负责人对片区路口的掌控，通过早晚高峰值班主动发现问题，并填写表格。  </w:t>
      </w:r>
    </w:p>
    <w:p w14:paraId="149D150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5.4.1.3警卫方案、特勤预案设计与保障</w:t>
      </w:r>
    </w:p>
    <w:p w14:paraId="3379BD0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服务期内，设计常用路线的警卫方案及特勤预案。</w:t>
      </w:r>
    </w:p>
    <w:p w14:paraId="2BA06B9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与大队沟通确定常用警卫及特勤路线，技术人员充分调研选定路线，针对路线沿线及周边交通情况设计警卫方案，执行警卫特勤任务时，技术人员按大队的要求，通过管理平台同步监察特勤路线执行情况。</w:t>
      </w:r>
      <w:bookmarkStart w:id="63" w:name="_Toc516566909"/>
      <w:bookmarkStart w:id="64" w:name="_Toc528585446"/>
    </w:p>
    <w:p w14:paraId="5D95C38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5.4.1.4重要节假日、大型群众活动专项交通保障</w:t>
      </w:r>
      <w:bookmarkEnd w:id="63"/>
      <w:bookmarkEnd w:id="64"/>
    </w:p>
    <w:p w14:paraId="78E0A1C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制定节假日城区关键节点路口（关键节点路口由大队按需确认）的信号控制预案库，每年根据往年控制方案和预测流量进行方案调整和优化。</w:t>
      </w:r>
    </w:p>
    <w:p w14:paraId="62DA0414">
      <w:pPr>
        <w:spacing w:line="360" w:lineRule="auto"/>
        <w:ind w:firstLine="420" w:firstLineChars="200"/>
        <w:rPr>
          <w:rFonts w:hint="eastAsia" w:ascii="仿宋" w:hAnsi="仿宋" w:eastAsia="仿宋" w:cs="仿宋"/>
          <w:sz w:val="21"/>
          <w:szCs w:val="21"/>
        </w:rPr>
      </w:pPr>
      <w:bookmarkStart w:id="65" w:name="_Toc388469061"/>
      <w:bookmarkStart w:id="66" w:name="_Toc388469058"/>
      <w:bookmarkStart w:id="67" w:name="_Toc388183226"/>
      <w:r>
        <w:rPr>
          <w:rFonts w:hint="eastAsia" w:ascii="仿宋" w:hAnsi="仿宋" w:eastAsia="仿宋" w:cs="仿宋"/>
          <w:sz w:val="21"/>
          <w:szCs w:val="21"/>
        </w:rPr>
        <w:t>*节假日交通组织与</w:t>
      </w:r>
      <w:bookmarkEnd w:id="65"/>
      <w:r>
        <w:rPr>
          <w:rFonts w:hint="eastAsia" w:ascii="仿宋" w:hAnsi="仿宋" w:eastAsia="仿宋" w:cs="仿宋"/>
          <w:sz w:val="21"/>
          <w:szCs w:val="21"/>
        </w:rPr>
        <w:t>信号控制优化</w:t>
      </w:r>
    </w:p>
    <w:p w14:paraId="575F851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节假日如清明节、五一劳动节、国庆节、元旦、春节及学校开学、放寒暑假日，经常会出现交通大客流的情况，引起景点、高速公路、重要交通枢纽的拥堵，可以通过预案化的模式，将交通信号配时、交通信息发布、停车场信息、警员GPS信息等进行综合，形成应对节假日交通管理的应急模式，保障节假日的交通管理。</w:t>
      </w:r>
    </w:p>
    <w:p w14:paraId="002BC76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要求制定节假日城区关键节点路口（关键节点路口由大队按需确认）的信号控制预案库，每年根据往年控制方案和预测流量进行方案调整和优化。</w:t>
      </w:r>
    </w:p>
    <w:p w14:paraId="060CBED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*重大活动的交通组织优化预案</w:t>
      </w:r>
      <w:bookmarkEnd w:id="66"/>
      <w:bookmarkEnd w:id="67"/>
    </w:p>
    <w:p w14:paraId="3519052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制定预案化的交通管理方案，生成线路规划、各警种警力部署、应急措施等预案，从而实现了对预案的归档管理，并可以随时进行调整，迅速打印出来，下发各单位立即进行工作部署。</w:t>
      </w:r>
    </w:p>
    <w:p w14:paraId="767C7F9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专业技术人员制定重大活动影响片区路口的专用信号控制方案，以便在活动期间能够顺利下发控制使用，每年根据往年控制方案和预测流量进行方案调整和优化。</w:t>
      </w:r>
    </w:p>
    <w:p w14:paraId="6DD307C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技术人员值班、执勤按大队的要求同步备战。</w:t>
      </w:r>
    </w:p>
    <w:p w14:paraId="787A5F14">
      <w:pPr>
        <w:spacing w:line="360" w:lineRule="auto"/>
        <w:ind w:firstLine="420" w:firstLineChars="200"/>
        <w:rPr>
          <w:rFonts w:hint="eastAsia" w:ascii="仿宋" w:hAnsi="仿宋" w:eastAsia="仿宋" w:cs="仿宋"/>
          <w:sz w:val="21"/>
          <w:szCs w:val="21"/>
        </w:rPr>
      </w:pPr>
      <w:bookmarkStart w:id="68" w:name="_Toc46423132"/>
      <w:r>
        <w:rPr>
          <w:rFonts w:hint="eastAsia" w:ascii="仿宋" w:hAnsi="仿宋" w:eastAsia="仿宋" w:cs="仿宋"/>
          <w:sz w:val="21"/>
          <w:szCs w:val="21"/>
        </w:rPr>
        <w:t>5.4.2实时高效问题发现</w:t>
      </w:r>
      <w:bookmarkEnd w:id="68"/>
    </w:p>
    <w:p w14:paraId="2B63ED8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5.4.2.1路口基础信息台账管理</w:t>
      </w:r>
    </w:p>
    <w:p w14:paraId="30246D9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通过制定一个交通信号优化业务工作流管理方案，使其优化工作标准化、流程化、专业化及高效化。利用路口基础信息台账管理业务系统对各种路口数据进行入库，如路口相位、路口信号控制方案等信息、设施情况、路口全景图等，并达到共享的目的。同时系统汇总各种统计数据表格，如日常优化登记表、巡查跟踪表、路口基础信息整理表、查询历史优化方案等。</w:t>
      </w:r>
    </w:p>
    <w:p w14:paraId="3D595DC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（1）交通信号基础设施台账管理工作</w:t>
      </w:r>
    </w:p>
    <w:p w14:paraId="3150E3B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制定详实的工作流程，规范路口基础数据的存储、分析与管理，从而提高信号灯管理的工作效率。</w:t>
      </w:r>
    </w:p>
    <w:p w14:paraId="2550418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路口信号基础管理：当路口信号控制基础设施因道路改造及路口动态交通流量发生变化时，须及时更新相关基础信息，制定交通信号基础设施及路口动态交通流量信息化管理步骤，并按照步骤实施管理工作。</w:t>
      </w:r>
    </w:p>
    <w:p w14:paraId="5032E7C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基础信息记录：每个步骤完成后进行数据规整、查询、分析，完善后台数据库，所有路口相位资料图的修改记录保存，能管理、查阅路口信息的历史纪录。</w:t>
      </w:r>
    </w:p>
    <w:p w14:paraId="7D8E666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历史操作记录：利用交通信号控制路口信息台账管理系统软件，自动记录所有任务执行过程，汇总成各种统计数据表格，如日常登记表、巡查跟踪表、路口基础信息整理表等。</w:t>
      </w:r>
    </w:p>
    <w:p w14:paraId="3CDF448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（2）利用管理系统软件实现台账管理工作</w:t>
      </w:r>
    </w:p>
    <w:p w14:paraId="74E313E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利用交通信号控制路口信息台账管理系统软件，为交通信号基础设施及路口动态交通流量信息化管理流程提供智能化支持，支撑路口基础设施信息和路口动态交通流量信息的录入等一系列工作。</w:t>
      </w:r>
    </w:p>
    <w:p w14:paraId="3B43601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5.4.2.2信号控制路口周期巡查</w:t>
      </w:r>
    </w:p>
    <w:p w14:paraId="48E5AF7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根据城市经济发展和路网规模的变化，路口的交通流量、排队长度、停车次数会不断发生变化，为提高对交通信号控制系统运行状态的动态把握和快速反应，需要定期对所有路口进行巡查。巡查以路面巡查和内场检查相结合，路面巡查为主、内场检查为辅。其中路面巡查主要是定期对辖区路口进行实地调查，及时发现路口存在问题；内场检查主要是在控制中心利用系统警告功能和交通监控视频来发现问题路口。</w:t>
      </w:r>
    </w:p>
    <w:p w14:paraId="69FB5B3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根据信号控制路口巡查方式的不同可分为常规性巡查及专业专项排查两大类。其中，常规性巡查主要包括路面巡查和视频监控巡查；专业专项排查包括“五项规则”符合情况排查与优化。</w:t>
      </w:r>
    </w:p>
    <w:p w14:paraId="5303E556">
      <w:pPr>
        <w:spacing w:line="360" w:lineRule="auto"/>
        <w:ind w:firstLine="420" w:firstLineChars="200"/>
        <w:rPr>
          <w:rFonts w:hint="eastAsia" w:ascii="仿宋" w:hAnsi="仿宋" w:eastAsia="仿宋" w:cs="仿宋"/>
          <w:sz w:val="21"/>
          <w:szCs w:val="21"/>
        </w:rPr>
      </w:pPr>
      <w:bookmarkStart w:id="69" w:name="_Toc417393737"/>
      <w:r>
        <w:rPr>
          <w:rFonts w:hint="eastAsia" w:ascii="仿宋" w:hAnsi="仿宋" w:eastAsia="仿宋" w:cs="仿宋"/>
          <w:sz w:val="21"/>
          <w:szCs w:val="21"/>
        </w:rPr>
        <w:t>*常规性巡查</w:t>
      </w:r>
      <w:bookmarkEnd w:id="69"/>
    </w:p>
    <w:p w14:paraId="5F9BD37A">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对于复杂的或车流量大的路口会在不同时段、特别是早晚高峰进行针对性巡查，并对完成巡查的路口进行记录，登记在路口日常巡查计划及记录表上（见下表）；对于存在问题的路口，将进行针对性记录，填写巡查问题跟踪表（见下表），并安排进行下一步优化。</w:t>
      </w:r>
    </w:p>
    <w:p w14:paraId="2364D46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日常路口常规性巡查有利于及时发现问题进行优化，为路口优化提供了重要的信息来源。</w:t>
      </w:r>
    </w:p>
    <w:p w14:paraId="54915D1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5.4.2.3舆情管理</w:t>
      </w:r>
    </w:p>
    <w:p w14:paraId="6B8B56B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针对市民、媒体等反映的问题路口，将安排专门人员负责管理路口投诉问题的收集及整理，并积极与大队沟通，及时了解路口的运行情况及存在问题。项目团队根据问题的性质分类，按照轻重缓急进行处理，对问题路口开展调查、设计、方案优化、实施、跟踪、再优化的信号路口优化工作流程，对问题路口进行模式化、标准化的方案调整，使得路口适应当前交通流增长的需求。一般在三个工作日内提出解决方案并报大队审核，审核通过后进行优化，优化后会再次跟踪路口优化效果，保障路口运行最优方案。</w:t>
      </w:r>
    </w:p>
    <w:p w14:paraId="796CF92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针对媒体投诉问题的类别不同，处理的方式也不一样，针对一下5大类问题路口，经深入实地调研后需要进行优化的路口，其具体处理方法如下：</w:t>
      </w:r>
    </w:p>
    <w:p w14:paraId="647BCF2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常识类：给出合理解释（结合交通知识、信号控制路口特点、路网特点等给出合理解释）；</w:t>
      </w:r>
    </w:p>
    <w:p w14:paraId="36B6853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解释类： 路口调查-＞给出合理解释（结合路口运行实际情况，给出合理解释，一般不对路口设置作改动）；</w:t>
      </w:r>
    </w:p>
    <w:p w14:paraId="5F0961B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冲突类：路口调查-＞方案设计（可通过修改相位、调整相位相序、增加全红时间、做早切断或迟启动等特殊设置等方法）-＞方案优化-＞实施-＞跟踪-＞再优化；</w:t>
      </w:r>
    </w:p>
    <w:p w14:paraId="6A46023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行人等待时间过长、行人过街时间不足、机动车等待时间过长、机动车灯时间不足类：路口调查＞方案设计（可通过修改相位、调整相位相序、调整绿信比方案、调整各项时间参数设置、调整行人参数设置等方法）-＞方案优化-＞实施-＞跟踪-＞再优化；</w:t>
      </w:r>
    </w:p>
    <w:p w14:paraId="3081111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其他（撤销灯组、增加某向灯组、安装倒计时、增加辅灯、建议增加黄闪灯、增加某配套设施、问题描述不清待回复等问题）：路口调查-＞走交通信号设施巡查工作流程，再作后续跟踪；</w:t>
      </w:r>
    </w:p>
    <w:p w14:paraId="1544CDB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为了规范对媒体反映问题的处理方法，根据每类问题的处理方法作出相应的规范及回复标准，如下表所示：</w:t>
      </w:r>
    </w:p>
    <w:tbl>
      <w:tblPr>
        <w:tblStyle w:val="40"/>
        <w:tblW w:w="9990" w:type="dxa"/>
        <w:jc w:val="center"/>
        <w:tblLayout w:type="fixed"/>
        <w:tblCellMar>
          <w:top w:w="0" w:type="dxa"/>
          <w:left w:w="108" w:type="dxa"/>
          <w:bottom w:w="0" w:type="dxa"/>
          <w:right w:w="108" w:type="dxa"/>
        </w:tblCellMar>
      </w:tblPr>
      <w:tblGrid>
        <w:gridCol w:w="1402"/>
        <w:gridCol w:w="1970"/>
        <w:gridCol w:w="1030"/>
        <w:gridCol w:w="1316"/>
        <w:gridCol w:w="4272"/>
      </w:tblGrid>
      <w:tr w14:paraId="0E359290">
        <w:tblPrEx>
          <w:tblCellMar>
            <w:top w:w="0" w:type="dxa"/>
            <w:left w:w="108" w:type="dxa"/>
            <w:bottom w:w="0" w:type="dxa"/>
            <w:right w:w="108" w:type="dxa"/>
          </w:tblCellMar>
        </w:tblPrEx>
        <w:trPr>
          <w:trHeight w:val="315" w:hRule="atLeast"/>
          <w:tblHeader/>
          <w:jc w:val="center"/>
        </w:trPr>
        <w:tc>
          <w:tcPr>
            <w:tcW w:w="1402" w:type="dxa"/>
            <w:tcBorders>
              <w:top w:val="single" w:color="auto" w:sz="8" w:space="0"/>
              <w:left w:val="single" w:color="auto" w:sz="8" w:space="0"/>
              <w:bottom w:val="single" w:color="auto" w:sz="8" w:space="0"/>
              <w:right w:val="single" w:color="auto" w:sz="8" w:space="0"/>
            </w:tcBorders>
            <w:vAlign w:val="center"/>
          </w:tcPr>
          <w:p w14:paraId="0F180356">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问题类型</w:t>
            </w:r>
          </w:p>
        </w:tc>
        <w:tc>
          <w:tcPr>
            <w:tcW w:w="1970" w:type="dxa"/>
            <w:tcBorders>
              <w:top w:val="single" w:color="auto" w:sz="8" w:space="0"/>
              <w:left w:val="nil"/>
              <w:bottom w:val="single" w:color="auto" w:sz="8" w:space="0"/>
              <w:right w:val="single" w:color="auto" w:sz="8" w:space="0"/>
            </w:tcBorders>
            <w:vAlign w:val="center"/>
          </w:tcPr>
          <w:p w14:paraId="636769C6">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解决方法</w:t>
            </w:r>
          </w:p>
        </w:tc>
        <w:tc>
          <w:tcPr>
            <w:tcW w:w="1030" w:type="dxa"/>
            <w:tcBorders>
              <w:top w:val="single" w:color="auto" w:sz="8" w:space="0"/>
              <w:left w:val="nil"/>
              <w:bottom w:val="single" w:color="auto" w:sz="8" w:space="0"/>
              <w:right w:val="single" w:color="auto" w:sz="8" w:space="0"/>
            </w:tcBorders>
            <w:vAlign w:val="center"/>
          </w:tcPr>
          <w:p w14:paraId="3A82F8B0">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判断</w:t>
            </w:r>
          </w:p>
        </w:tc>
        <w:tc>
          <w:tcPr>
            <w:tcW w:w="1316" w:type="dxa"/>
            <w:tcBorders>
              <w:top w:val="single" w:color="auto" w:sz="8" w:space="0"/>
              <w:left w:val="nil"/>
              <w:bottom w:val="single" w:color="auto" w:sz="8" w:space="0"/>
              <w:right w:val="single" w:color="auto" w:sz="8" w:space="0"/>
            </w:tcBorders>
            <w:vAlign w:val="center"/>
          </w:tcPr>
          <w:p w14:paraId="69064A7E">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分类</w:t>
            </w:r>
          </w:p>
        </w:tc>
        <w:tc>
          <w:tcPr>
            <w:tcW w:w="4272" w:type="dxa"/>
            <w:tcBorders>
              <w:top w:val="single" w:color="auto" w:sz="8" w:space="0"/>
              <w:left w:val="nil"/>
              <w:bottom w:val="single" w:color="auto" w:sz="8" w:space="0"/>
              <w:right w:val="single" w:color="auto" w:sz="8" w:space="0"/>
            </w:tcBorders>
            <w:vAlign w:val="center"/>
          </w:tcPr>
          <w:p w14:paraId="23D7E212">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具体回复</w:t>
            </w:r>
          </w:p>
        </w:tc>
      </w:tr>
      <w:tr w14:paraId="63DA66CF">
        <w:tblPrEx>
          <w:tblCellMar>
            <w:top w:w="0" w:type="dxa"/>
            <w:left w:w="108" w:type="dxa"/>
            <w:bottom w:w="0" w:type="dxa"/>
            <w:right w:w="108" w:type="dxa"/>
          </w:tblCellMar>
        </w:tblPrEx>
        <w:trPr>
          <w:trHeight w:val="814" w:hRule="atLeast"/>
          <w:jc w:val="center"/>
        </w:trPr>
        <w:tc>
          <w:tcPr>
            <w:tcW w:w="1402" w:type="dxa"/>
            <w:vMerge w:val="restart"/>
            <w:tcBorders>
              <w:top w:val="nil"/>
              <w:left w:val="single" w:color="auto" w:sz="8" w:space="0"/>
              <w:bottom w:val="single" w:color="000000" w:sz="8" w:space="0"/>
              <w:right w:val="single" w:color="auto" w:sz="8" w:space="0"/>
            </w:tcBorders>
            <w:vAlign w:val="center"/>
          </w:tcPr>
          <w:p w14:paraId="2820DBEA">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行人过街时间不足</w:t>
            </w:r>
          </w:p>
        </w:tc>
        <w:tc>
          <w:tcPr>
            <w:tcW w:w="1970" w:type="dxa"/>
            <w:vMerge w:val="restart"/>
            <w:tcBorders>
              <w:top w:val="nil"/>
              <w:left w:val="nil"/>
              <w:bottom w:val="single" w:color="000000" w:sz="8" w:space="0"/>
              <w:right w:val="single" w:color="auto" w:sz="8" w:space="0"/>
            </w:tcBorders>
            <w:vAlign w:val="center"/>
          </w:tcPr>
          <w:p w14:paraId="4CDA837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 监控视频、实地调研；</w:t>
            </w:r>
          </w:p>
          <w:p w14:paraId="6E6EE5D2">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检查内容：行人的控制参数；</w:t>
            </w:r>
          </w:p>
        </w:tc>
        <w:tc>
          <w:tcPr>
            <w:tcW w:w="1030" w:type="dxa"/>
            <w:tcBorders>
              <w:top w:val="nil"/>
              <w:left w:val="nil"/>
              <w:bottom w:val="single" w:color="auto" w:sz="8" w:space="0"/>
              <w:right w:val="single" w:color="auto" w:sz="8" w:space="0"/>
            </w:tcBorders>
            <w:vAlign w:val="center"/>
          </w:tcPr>
          <w:p w14:paraId="0D2FDBC5">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时间不足</w:t>
            </w:r>
          </w:p>
        </w:tc>
        <w:tc>
          <w:tcPr>
            <w:tcW w:w="1316" w:type="dxa"/>
            <w:tcBorders>
              <w:top w:val="nil"/>
              <w:left w:val="nil"/>
              <w:bottom w:val="single" w:color="auto" w:sz="8" w:space="0"/>
              <w:right w:val="single" w:color="auto" w:sz="8" w:space="0"/>
            </w:tcBorders>
            <w:vAlign w:val="center"/>
          </w:tcPr>
          <w:p w14:paraId="11F16AE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增加行人放行时间</w:t>
            </w:r>
          </w:p>
        </w:tc>
        <w:tc>
          <w:tcPr>
            <w:tcW w:w="4272" w:type="dxa"/>
            <w:tcBorders>
              <w:top w:val="nil"/>
              <w:left w:val="nil"/>
              <w:bottom w:val="single" w:color="auto" w:sz="8" w:space="0"/>
              <w:right w:val="single" w:color="auto" w:sz="8" w:space="0"/>
            </w:tcBorders>
            <w:vAlign w:val="center"/>
          </w:tcPr>
          <w:p w14:paraId="4C1F563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该进口行人过街长度为X米，已调整行人过街放行时间为X秒，满足行人过街需求，符合1米/秒行人过街设置标准。</w:t>
            </w:r>
          </w:p>
        </w:tc>
      </w:tr>
      <w:tr w14:paraId="125C6C8E">
        <w:tblPrEx>
          <w:tblCellMar>
            <w:top w:w="0" w:type="dxa"/>
            <w:left w:w="108" w:type="dxa"/>
            <w:bottom w:w="0" w:type="dxa"/>
            <w:right w:w="108" w:type="dxa"/>
          </w:tblCellMar>
        </w:tblPrEx>
        <w:trPr>
          <w:trHeight w:val="86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16048118">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000000" w:sz="8" w:space="0"/>
              <w:right w:val="single" w:color="auto" w:sz="8" w:space="0"/>
            </w:tcBorders>
            <w:vAlign w:val="center"/>
          </w:tcPr>
          <w:p w14:paraId="732EB195">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1E6F49DE">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现状合理</w:t>
            </w:r>
          </w:p>
        </w:tc>
        <w:tc>
          <w:tcPr>
            <w:tcW w:w="1316" w:type="dxa"/>
            <w:tcBorders>
              <w:top w:val="nil"/>
              <w:left w:val="nil"/>
              <w:bottom w:val="single" w:color="auto" w:sz="8" w:space="0"/>
              <w:right w:val="single" w:color="auto" w:sz="8" w:space="0"/>
            </w:tcBorders>
            <w:vAlign w:val="center"/>
          </w:tcPr>
          <w:p w14:paraId="15AAD4D1">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无需优化，进行解释</w:t>
            </w:r>
          </w:p>
        </w:tc>
        <w:tc>
          <w:tcPr>
            <w:tcW w:w="4272" w:type="dxa"/>
            <w:tcBorders>
              <w:top w:val="nil"/>
              <w:left w:val="nil"/>
              <w:bottom w:val="single" w:color="auto" w:sz="8" w:space="0"/>
              <w:right w:val="single" w:color="auto" w:sz="8" w:space="0"/>
            </w:tcBorders>
            <w:vAlign w:val="center"/>
          </w:tcPr>
          <w:p w14:paraId="1CDFAC0B">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该进口行人过街长度为X米，现状行人放行时间X秒，满足行人过街需求，已符合1米/秒行人过街设置标准。</w:t>
            </w:r>
            <w:r>
              <w:rPr>
                <w:rFonts w:hint="eastAsia" w:ascii="仿宋" w:hAnsi="仿宋" w:eastAsia="仿宋" w:cs="仿宋"/>
                <w:bCs/>
                <w:color w:val="000000"/>
                <w:sz w:val="21"/>
                <w:szCs w:val="21"/>
              </w:rPr>
              <w:t>我们会持续跟踪该路口。</w:t>
            </w:r>
          </w:p>
        </w:tc>
      </w:tr>
      <w:tr w14:paraId="2BB80D2C">
        <w:tblPrEx>
          <w:tblCellMar>
            <w:top w:w="0" w:type="dxa"/>
            <w:left w:w="108" w:type="dxa"/>
            <w:bottom w:w="0" w:type="dxa"/>
            <w:right w:w="108" w:type="dxa"/>
          </w:tblCellMar>
        </w:tblPrEx>
        <w:trPr>
          <w:trHeight w:val="712" w:hRule="atLeast"/>
          <w:jc w:val="center"/>
        </w:trPr>
        <w:tc>
          <w:tcPr>
            <w:tcW w:w="1402" w:type="dxa"/>
            <w:vMerge w:val="restart"/>
            <w:tcBorders>
              <w:top w:val="nil"/>
              <w:left w:val="single" w:color="auto" w:sz="8" w:space="0"/>
              <w:bottom w:val="single" w:color="000000" w:sz="8" w:space="0"/>
              <w:right w:val="single" w:color="auto" w:sz="8" w:space="0"/>
            </w:tcBorders>
            <w:vAlign w:val="center"/>
          </w:tcPr>
          <w:p w14:paraId="7D11961C">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行人等待时间过长</w:t>
            </w:r>
          </w:p>
        </w:tc>
        <w:tc>
          <w:tcPr>
            <w:tcW w:w="1970" w:type="dxa"/>
            <w:vMerge w:val="restart"/>
            <w:tcBorders>
              <w:top w:val="nil"/>
              <w:left w:val="single" w:color="auto" w:sz="8" w:space="0"/>
              <w:bottom w:val="single" w:color="000000" w:sz="8" w:space="0"/>
              <w:right w:val="single" w:color="auto" w:sz="8" w:space="0"/>
            </w:tcBorders>
            <w:vAlign w:val="center"/>
          </w:tcPr>
          <w:p w14:paraId="1881BC2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 监控视频、实地调研；</w:t>
            </w:r>
          </w:p>
          <w:p w14:paraId="2F47AED0">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检查手段：行人、周期的控制参数；</w:t>
            </w:r>
          </w:p>
        </w:tc>
        <w:tc>
          <w:tcPr>
            <w:tcW w:w="1030" w:type="dxa"/>
            <w:tcBorders>
              <w:top w:val="nil"/>
              <w:left w:val="nil"/>
              <w:bottom w:val="single" w:color="auto" w:sz="8" w:space="0"/>
              <w:right w:val="single" w:color="auto" w:sz="8" w:space="0"/>
            </w:tcBorders>
            <w:vAlign w:val="center"/>
          </w:tcPr>
          <w:p w14:paraId="757E33F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等待时间过长</w:t>
            </w:r>
          </w:p>
        </w:tc>
        <w:tc>
          <w:tcPr>
            <w:tcW w:w="1316" w:type="dxa"/>
            <w:tcBorders>
              <w:top w:val="nil"/>
              <w:left w:val="nil"/>
              <w:bottom w:val="single" w:color="auto" w:sz="8" w:space="0"/>
              <w:right w:val="single" w:color="auto" w:sz="8" w:space="0"/>
            </w:tcBorders>
            <w:vAlign w:val="center"/>
          </w:tcPr>
          <w:p w14:paraId="3E6D2E5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增加行人放行时间</w:t>
            </w:r>
          </w:p>
        </w:tc>
        <w:tc>
          <w:tcPr>
            <w:tcW w:w="4272" w:type="dxa"/>
            <w:tcBorders>
              <w:top w:val="nil"/>
              <w:left w:val="nil"/>
              <w:bottom w:val="single" w:color="auto" w:sz="8" w:space="0"/>
              <w:right w:val="single" w:color="auto" w:sz="8" w:space="0"/>
            </w:tcBorders>
            <w:vAlign w:val="center"/>
          </w:tcPr>
          <w:p w14:paraId="5764E69D">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该进口行人过街长度为X米，已调整行人放行时间为X秒（增加了X秒），行人等待过街时间为X秒，满足行人过街需求。</w:t>
            </w:r>
          </w:p>
        </w:tc>
      </w:tr>
      <w:tr w14:paraId="6A8AAA94">
        <w:tblPrEx>
          <w:tblCellMar>
            <w:top w:w="0" w:type="dxa"/>
            <w:left w:w="108" w:type="dxa"/>
            <w:bottom w:w="0" w:type="dxa"/>
            <w:right w:w="108" w:type="dxa"/>
          </w:tblCellMar>
        </w:tblPrEx>
        <w:trPr>
          <w:trHeight w:val="64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199F0B66">
            <w:pPr>
              <w:widowControl/>
              <w:spacing w:line="240" w:lineRule="auto"/>
              <w:jc w:val="center"/>
              <w:rPr>
                <w:rFonts w:hint="eastAsia" w:ascii="仿宋" w:hAnsi="仿宋" w:eastAsia="仿宋" w:cs="仿宋"/>
                <w:bCs/>
                <w:sz w:val="21"/>
                <w:szCs w:val="21"/>
              </w:rPr>
            </w:pPr>
          </w:p>
        </w:tc>
        <w:tc>
          <w:tcPr>
            <w:tcW w:w="1970" w:type="dxa"/>
            <w:vMerge w:val="continue"/>
            <w:tcBorders>
              <w:top w:val="nil"/>
              <w:left w:val="single" w:color="auto" w:sz="8" w:space="0"/>
              <w:bottom w:val="single" w:color="000000" w:sz="8" w:space="0"/>
              <w:right w:val="single" w:color="auto" w:sz="8" w:space="0"/>
            </w:tcBorders>
            <w:vAlign w:val="center"/>
          </w:tcPr>
          <w:p w14:paraId="267CA3F7">
            <w:pPr>
              <w:widowControl/>
              <w:spacing w:line="240" w:lineRule="auto"/>
              <w:jc w:val="center"/>
              <w:rPr>
                <w:rFonts w:hint="eastAsia" w:ascii="仿宋" w:hAnsi="仿宋" w:eastAsia="仿宋" w:cs="仿宋"/>
                <w:bCs/>
                <w:sz w:val="21"/>
                <w:szCs w:val="21"/>
              </w:rPr>
            </w:pPr>
          </w:p>
        </w:tc>
        <w:tc>
          <w:tcPr>
            <w:tcW w:w="1030" w:type="dxa"/>
            <w:vMerge w:val="restart"/>
            <w:tcBorders>
              <w:top w:val="nil"/>
              <w:left w:val="single" w:color="auto" w:sz="8" w:space="0"/>
              <w:bottom w:val="single" w:color="000000" w:sz="8" w:space="0"/>
              <w:right w:val="single" w:color="auto" w:sz="8" w:space="0"/>
            </w:tcBorders>
            <w:vAlign w:val="center"/>
          </w:tcPr>
          <w:p w14:paraId="653E7BFB">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相位设置不合理</w:t>
            </w:r>
          </w:p>
        </w:tc>
        <w:tc>
          <w:tcPr>
            <w:tcW w:w="1316" w:type="dxa"/>
            <w:tcBorders>
              <w:top w:val="nil"/>
              <w:left w:val="nil"/>
              <w:bottom w:val="single" w:color="auto" w:sz="8" w:space="0"/>
              <w:right w:val="single" w:color="auto" w:sz="8" w:space="0"/>
            </w:tcBorders>
            <w:vAlign w:val="center"/>
          </w:tcPr>
          <w:p w14:paraId="4E8AE581">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设置行人专用相位</w:t>
            </w:r>
          </w:p>
        </w:tc>
        <w:tc>
          <w:tcPr>
            <w:tcW w:w="4272" w:type="dxa"/>
            <w:tcBorders>
              <w:top w:val="nil"/>
              <w:left w:val="nil"/>
              <w:bottom w:val="single" w:color="auto" w:sz="8" w:space="0"/>
              <w:right w:val="single" w:color="auto" w:sz="8" w:space="0"/>
            </w:tcBorders>
            <w:vAlign w:val="center"/>
          </w:tcPr>
          <w:p w14:paraId="58A9A6D1">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现增设行人专用放行相位，行人放行时间为X秒，等待过街时间为X秒，满足该路口各进口行人过街需求。</w:t>
            </w:r>
          </w:p>
        </w:tc>
      </w:tr>
      <w:tr w14:paraId="5B8358B5">
        <w:tblPrEx>
          <w:tblCellMar>
            <w:top w:w="0" w:type="dxa"/>
            <w:left w:w="108" w:type="dxa"/>
            <w:bottom w:w="0" w:type="dxa"/>
            <w:right w:w="108" w:type="dxa"/>
          </w:tblCellMar>
        </w:tblPrEx>
        <w:trPr>
          <w:trHeight w:val="960"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53FC0A72">
            <w:pPr>
              <w:widowControl/>
              <w:spacing w:line="240" w:lineRule="auto"/>
              <w:jc w:val="center"/>
              <w:rPr>
                <w:rFonts w:hint="eastAsia" w:ascii="仿宋" w:hAnsi="仿宋" w:eastAsia="仿宋" w:cs="仿宋"/>
                <w:bCs/>
                <w:sz w:val="21"/>
                <w:szCs w:val="21"/>
              </w:rPr>
            </w:pPr>
          </w:p>
        </w:tc>
        <w:tc>
          <w:tcPr>
            <w:tcW w:w="1970" w:type="dxa"/>
            <w:vMerge w:val="continue"/>
            <w:tcBorders>
              <w:top w:val="nil"/>
              <w:left w:val="single" w:color="auto" w:sz="8" w:space="0"/>
              <w:bottom w:val="single" w:color="000000" w:sz="8" w:space="0"/>
              <w:right w:val="single" w:color="auto" w:sz="8" w:space="0"/>
            </w:tcBorders>
            <w:vAlign w:val="center"/>
          </w:tcPr>
          <w:p w14:paraId="5FA04EBD">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6C1E0555">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4EDEDD6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设置二次过街</w:t>
            </w:r>
          </w:p>
        </w:tc>
        <w:tc>
          <w:tcPr>
            <w:tcW w:w="4272" w:type="dxa"/>
            <w:tcBorders>
              <w:top w:val="nil"/>
              <w:left w:val="nil"/>
              <w:bottom w:val="single" w:color="auto" w:sz="8" w:space="0"/>
              <w:right w:val="single" w:color="auto" w:sz="8" w:space="0"/>
            </w:tcBorders>
            <w:vAlign w:val="center"/>
          </w:tcPr>
          <w:p w14:paraId="535439A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该路口X进口人行过街现设置为二次过街，分两段放行，第一段长度为X米，放行时间为X秒；第二段长度为X米，放行时间为X秒，以此减少等待过街时间，满足人行过街需求。</w:t>
            </w:r>
          </w:p>
        </w:tc>
      </w:tr>
      <w:tr w14:paraId="6C2DFD40">
        <w:tblPrEx>
          <w:tblCellMar>
            <w:top w:w="0" w:type="dxa"/>
            <w:left w:w="108" w:type="dxa"/>
            <w:bottom w:w="0" w:type="dxa"/>
            <w:right w:w="108" w:type="dxa"/>
          </w:tblCellMar>
        </w:tblPrEx>
        <w:trPr>
          <w:trHeight w:val="127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1B2BD68B">
            <w:pPr>
              <w:widowControl/>
              <w:spacing w:line="240" w:lineRule="auto"/>
              <w:jc w:val="center"/>
              <w:rPr>
                <w:rFonts w:hint="eastAsia" w:ascii="仿宋" w:hAnsi="仿宋" w:eastAsia="仿宋" w:cs="仿宋"/>
                <w:bCs/>
                <w:sz w:val="21"/>
                <w:szCs w:val="21"/>
              </w:rPr>
            </w:pPr>
          </w:p>
        </w:tc>
        <w:tc>
          <w:tcPr>
            <w:tcW w:w="1970" w:type="dxa"/>
            <w:vMerge w:val="continue"/>
            <w:tcBorders>
              <w:top w:val="nil"/>
              <w:left w:val="single" w:color="auto" w:sz="8" w:space="0"/>
              <w:bottom w:val="single" w:color="000000" w:sz="8" w:space="0"/>
              <w:right w:val="single" w:color="auto" w:sz="8" w:space="0"/>
            </w:tcBorders>
            <w:vAlign w:val="center"/>
          </w:tcPr>
          <w:p w14:paraId="64E13C4E">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2860BF2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现状合理</w:t>
            </w:r>
          </w:p>
        </w:tc>
        <w:tc>
          <w:tcPr>
            <w:tcW w:w="1316" w:type="dxa"/>
            <w:tcBorders>
              <w:top w:val="nil"/>
              <w:left w:val="nil"/>
              <w:bottom w:val="single" w:color="auto" w:sz="8" w:space="0"/>
              <w:right w:val="single" w:color="auto" w:sz="8" w:space="0"/>
            </w:tcBorders>
            <w:vAlign w:val="center"/>
          </w:tcPr>
          <w:p w14:paraId="77225C6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无需优化，进行解释</w:t>
            </w:r>
          </w:p>
        </w:tc>
        <w:tc>
          <w:tcPr>
            <w:tcW w:w="4272" w:type="dxa"/>
            <w:tcBorders>
              <w:top w:val="nil"/>
              <w:left w:val="nil"/>
              <w:bottom w:val="single" w:color="auto" w:sz="8" w:space="0"/>
              <w:right w:val="single" w:color="auto" w:sz="8" w:space="0"/>
            </w:tcBorders>
            <w:vAlign w:val="center"/>
          </w:tcPr>
          <w:p w14:paraId="4743D16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路口车流大，早晚高峰均处于过饱和状态，车辆行驶缓慢。为协调各方向车流与人流的有效放行，现状X进口行人过街采取X次过街方式，放行时间为X秒，等待过街时间为X秒，综合考虑下该放行方式已为较优。我们将继续密切跟踪其运行动态。</w:t>
            </w:r>
          </w:p>
        </w:tc>
      </w:tr>
      <w:tr w14:paraId="33405CAD">
        <w:tblPrEx>
          <w:tblCellMar>
            <w:top w:w="0" w:type="dxa"/>
            <w:left w:w="108" w:type="dxa"/>
            <w:bottom w:w="0" w:type="dxa"/>
            <w:right w:w="108" w:type="dxa"/>
          </w:tblCellMar>
        </w:tblPrEx>
        <w:trPr>
          <w:trHeight w:val="900" w:hRule="atLeast"/>
          <w:jc w:val="center"/>
        </w:trPr>
        <w:tc>
          <w:tcPr>
            <w:tcW w:w="1402" w:type="dxa"/>
            <w:vMerge w:val="restart"/>
            <w:tcBorders>
              <w:top w:val="nil"/>
              <w:left w:val="single" w:color="auto" w:sz="8" w:space="0"/>
              <w:bottom w:val="single" w:color="000000" w:sz="8" w:space="0"/>
              <w:right w:val="single" w:color="auto" w:sz="8" w:space="0"/>
            </w:tcBorders>
            <w:vAlign w:val="center"/>
          </w:tcPr>
          <w:p w14:paraId="37CE003D">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机动车绿灯时间不足</w:t>
            </w:r>
          </w:p>
        </w:tc>
        <w:tc>
          <w:tcPr>
            <w:tcW w:w="1970" w:type="dxa"/>
            <w:vMerge w:val="restart"/>
            <w:tcBorders>
              <w:top w:val="nil"/>
              <w:left w:val="nil"/>
              <w:bottom w:val="single" w:color="auto" w:sz="8" w:space="0"/>
              <w:right w:val="single" w:color="auto" w:sz="8" w:space="0"/>
            </w:tcBorders>
            <w:vAlign w:val="center"/>
          </w:tcPr>
          <w:p w14:paraId="5DF5D69A">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 监控视频、实地调研；</w:t>
            </w:r>
          </w:p>
          <w:p w14:paraId="3A34069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检查内容：周期、绿信比、相位配时、投票及饱和度的控制参数来判断；</w:t>
            </w:r>
          </w:p>
        </w:tc>
        <w:tc>
          <w:tcPr>
            <w:tcW w:w="1030" w:type="dxa"/>
            <w:vMerge w:val="restart"/>
            <w:tcBorders>
              <w:top w:val="nil"/>
              <w:left w:val="single" w:color="auto" w:sz="8" w:space="0"/>
              <w:bottom w:val="single" w:color="000000" w:sz="8" w:space="0"/>
              <w:right w:val="single" w:color="auto" w:sz="8" w:space="0"/>
            </w:tcBorders>
            <w:vAlign w:val="center"/>
          </w:tcPr>
          <w:p w14:paraId="7B9959E0">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绿信比方案不合理</w:t>
            </w:r>
          </w:p>
        </w:tc>
        <w:tc>
          <w:tcPr>
            <w:tcW w:w="1316" w:type="dxa"/>
            <w:tcBorders>
              <w:top w:val="nil"/>
              <w:left w:val="nil"/>
              <w:bottom w:val="single" w:color="auto" w:sz="8" w:space="0"/>
              <w:right w:val="single" w:color="auto" w:sz="8" w:space="0"/>
            </w:tcBorders>
            <w:vAlign w:val="center"/>
          </w:tcPr>
          <w:p w14:paraId="3D38DC4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调整或增加绿信比方案</w:t>
            </w:r>
          </w:p>
        </w:tc>
        <w:tc>
          <w:tcPr>
            <w:tcW w:w="4272" w:type="dxa"/>
            <w:tcBorders>
              <w:top w:val="nil"/>
              <w:left w:val="nil"/>
              <w:bottom w:val="single" w:color="auto" w:sz="8" w:space="0"/>
              <w:right w:val="single" w:color="auto" w:sz="8" w:space="0"/>
            </w:tcBorders>
            <w:vAlign w:val="center"/>
          </w:tcPr>
          <w:p w14:paraId="156BB72E">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已经重新调整问题反映进口X方向车流的放行时间，现该X方向车流的放行时间为X~X秒，此时路口运行能根据车流量变化自适应选择更合理的运行时间。</w:t>
            </w:r>
          </w:p>
        </w:tc>
      </w:tr>
      <w:tr w14:paraId="4F936733">
        <w:tblPrEx>
          <w:tblCellMar>
            <w:top w:w="0" w:type="dxa"/>
            <w:left w:w="108" w:type="dxa"/>
            <w:bottom w:w="0" w:type="dxa"/>
            <w:right w:w="108" w:type="dxa"/>
          </w:tblCellMar>
        </w:tblPrEx>
        <w:trPr>
          <w:trHeight w:val="152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12937B6A">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03CD509C">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1719CCB0">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017A8486">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设置多时段早晚高峰方案</w:t>
            </w:r>
          </w:p>
        </w:tc>
        <w:tc>
          <w:tcPr>
            <w:tcW w:w="4272" w:type="dxa"/>
            <w:tcBorders>
              <w:top w:val="nil"/>
              <w:left w:val="nil"/>
              <w:bottom w:val="single" w:color="auto" w:sz="8" w:space="0"/>
              <w:right w:val="single" w:color="auto" w:sz="8" w:space="0"/>
            </w:tcBorders>
            <w:vAlign w:val="center"/>
          </w:tcPr>
          <w:p w14:paraId="5BA06975">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路口早晚高峰车流大，存在潮汐流现象，路口达到饱和状态时出现拥堵，导致机动车放行时间不足，已设置早晚高峰放行方案，使该路口在不同的时段对应不同的放行方案，早高峰时问题反映进口X向机动车放行时间约为X秒；晚高峰时问题反映进口X向机动车放行时间约为X秒，满足车辆通行需求。</w:t>
            </w:r>
          </w:p>
        </w:tc>
      </w:tr>
      <w:tr w14:paraId="39B21CDE">
        <w:tblPrEx>
          <w:tblCellMar>
            <w:top w:w="0" w:type="dxa"/>
            <w:left w:w="108" w:type="dxa"/>
            <w:bottom w:w="0" w:type="dxa"/>
            <w:right w:w="108" w:type="dxa"/>
          </w:tblCellMar>
        </w:tblPrEx>
        <w:trPr>
          <w:trHeight w:val="64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5100FF5F">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2F738351">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06FA863B">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相位设置不合理</w:t>
            </w:r>
          </w:p>
        </w:tc>
        <w:tc>
          <w:tcPr>
            <w:tcW w:w="1316" w:type="dxa"/>
            <w:tcBorders>
              <w:top w:val="nil"/>
              <w:left w:val="nil"/>
              <w:bottom w:val="single" w:color="auto" w:sz="8" w:space="0"/>
              <w:right w:val="single" w:color="auto" w:sz="8" w:space="0"/>
            </w:tcBorders>
            <w:vAlign w:val="center"/>
          </w:tcPr>
          <w:p w14:paraId="714207BD">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重新设计相位</w:t>
            </w:r>
          </w:p>
        </w:tc>
        <w:tc>
          <w:tcPr>
            <w:tcW w:w="4272" w:type="dxa"/>
            <w:tcBorders>
              <w:top w:val="nil"/>
              <w:left w:val="nil"/>
              <w:bottom w:val="single" w:color="auto" w:sz="8" w:space="0"/>
              <w:right w:val="single" w:color="auto" w:sz="8" w:space="0"/>
            </w:tcBorders>
            <w:vAlign w:val="center"/>
          </w:tcPr>
          <w:p w14:paraId="7F3BD30B">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已重新设计该路口相位相序。优化后，问题反映进口车流在X相位放行（一次/两次/多次放行），绿灯放行时间约为X秒，满足该路口车流通行需求。</w:t>
            </w:r>
          </w:p>
        </w:tc>
      </w:tr>
      <w:tr w14:paraId="6C75AB92">
        <w:tblPrEx>
          <w:tblCellMar>
            <w:top w:w="0" w:type="dxa"/>
            <w:left w:w="108" w:type="dxa"/>
            <w:bottom w:w="0" w:type="dxa"/>
            <w:right w:w="108" w:type="dxa"/>
          </w:tblCellMar>
        </w:tblPrEx>
        <w:trPr>
          <w:trHeight w:val="960"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552D14A7">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683F7FEE">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0F65B9A0">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硬件问题</w:t>
            </w:r>
          </w:p>
        </w:tc>
        <w:tc>
          <w:tcPr>
            <w:tcW w:w="1316" w:type="dxa"/>
            <w:tcBorders>
              <w:top w:val="nil"/>
              <w:left w:val="nil"/>
              <w:bottom w:val="single" w:color="auto" w:sz="8" w:space="0"/>
              <w:right w:val="single" w:color="auto" w:sz="8" w:space="0"/>
            </w:tcBorders>
            <w:vAlign w:val="center"/>
          </w:tcPr>
          <w:p w14:paraId="0B326F3B">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线圈损坏</w:t>
            </w:r>
          </w:p>
        </w:tc>
        <w:tc>
          <w:tcPr>
            <w:tcW w:w="4272" w:type="dxa"/>
            <w:tcBorders>
              <w:top w:val="nil"/>
              <w:left w:val="nil"/>
              <w:bottom w:val="single" w:color="auto" w:sz="8" w:space="0"/>
              <w:right w:val="single" w:color="auto" w:sz="8" w:space="0"/>
            </w:tcBorders>
            <w:vAlign w:val="center"/>
          </w:tcPr>
          <w:p w14:paraId="3ADDE89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该路口X进口检测线圈损坏，导致不能准确选择合理的绿信比方案，使X进口绿灯放行时间不足；我们会尽快对线圈进行维检并重新设置。</w:t>
            </w:r>
          </w:p>
        </w:tc>
      </w:tr>
      <w:tr w14:paraId="65E90E2B">
        <w:tblPrEx>
          <w:tblCellMar>
            <w:top w:w="0" w:type="dxa"/>
            <w:left w:w="108" w:type="dxa"/>
            <w:bottom w:w="0" w:type="dxa"/>
            <w:right w:w="108" w:type="dxa"/>
          </w:tblCellMar>
        </w:tblPrEx>
        <w:trPr>
          <w:trHeight w:val="638"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239EE84D">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2FC976AE">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10477F7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现状合理</w:t>
            </w:r>
          </w:p>
        </w:tc>
        <w:tc>
          <w:tcPr>
            <w:tcW w:w="1316" w:type="dxa"/>
            <w:tcBorders>
              <w:top w:val="nil"/>
              <w:left w:val="nil"/>
              <w:bottom w:val="single" w:color="auto" w:sz="8" w:space="0"/>
              <w:right w:val="single" w:color="auto" w:sz="8" w:space="0"/>
            </w:tcBorders>
            <w:vAlign w:val="center"/>
          </w:tcPr>
          <w:p w14:paraId="2DCFF5C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无需优化，进行解释</w:t>
            </w:r>
          </w:p>
        </w:tc>
        <w:tc>
          <w:tcPr>
            <w:tcW w:w="4272" w:type="dxa"/>
            <w:tcBorders>
              <w:top w:val="nil"/>
              <w:left w:val="nil"/>
              <w:bottom w:val="single" w:color="auto" w:sz="8" w:space="0"/>
              <w:right w:val="single" w:color="auto" w:sz="8" w:space="0"/>
            </w:tcBorders>
            <w:vAlign w:val="center"/>
          </w:tcPr>
          <w:p w14:paraId="4FE0D1B8">
            <w:pPr>
              <w:widowControl/>
              <w:spacing w:line="240" w:lineRule="auto"/>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经核查，该车流在周期变化内放行约X秒，放行时间满足需求，无需优化，我们会持续跟踪该路口运行动态。</w:t>
            </w:r>
          </w:p>
        </w:tc>
      </w:tr>
      <w:tr w14:paraId="349A092F">
        <w:tblPrEx>
          <w:tblCellMar>
            <w:top w:w="0" w:type="dxa"/>
            <w:left w:w="108" w:type="dxa"/>
            <w:bottom w:w="0" w:type="dxa"/>
            <w:right w:w="108" w:type="dxa"/>
          </w:tblCellMar>
        </w:tblPrEx>
        <w:trPr>
          <w:trHeight w:val="960" w:hRule="atLeast"/>
          <w:jc w:val="center"/>
        </w:trPr>
        <w:tc>
          <w:tcPr>
            <w:tcW w:w="1402" w:type="dxa"/>
            <w:vMerge w:val="restart"/>
            <w:tcBorders>
              <w:top w:val="nil"/>
              <w:left w:val="single" w:color="auto" w:sz="8" w:space="0"/>
              <w:bottom w:val="single" w:color="000000" w:sz="8" w:space="0"/>
              <w:right w:val="single" w:color="auto" w:sz="8" w:space="0"/>
            </w:tcBorders>
            <w:vAlign w:val="center"/>
          </w:tcPr>
          <w:p w14:paraId="3D1A9F2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机动车等待时间过长</w:t>
            </w:r>
          </w:p>
        </w:tc>
        <w:tc>
          <w:tcPr>
            <w:tcW w:w="1970" w:type="dxa"/>
            <w:vMerge w:val="restart"/>
            <w:tcBorders>
              <w:top w:val="nil"/>
              <w:left w:val="nil"/>
              <w:bottom w:val="single" w:color="auto" w:sz="8" w:space="0"/>
              <w:right w:val="single" w:color="auto" w:sz="8" w:space="0"/>
            </w:tcBorders>
            <w:vAlign w:val="center"/>
          </w:tcPr>
          <w:p w14:paraId="622BF210">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 监控视频、实地调研；</w:t>
            </w:r>
          </w:p>
          <w:p w14:paraId="62DFE90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检查内容：周期、绿信比、相位配时及饱和度的控制参数、并结合流量、方案选择来判断；</w:t>
            </w:r>
          </w:p>
        </w:tc>
        <w:tc>
          <w:tcPr>
            <w:tcW w:w="1030" w:type="dxa"/>
            <w:vMerge w:val="restart"/>
            <w:tcBorders>
              <w:top w:val="nil"/>
              <w:left w:val="single" w:color="auto" w:sz="8" w:space="0"/>
              <w:bottom w:val="single" w:color="000000" w:sz="8" w:space="0"/>
              <w:right w:val="single" w:color="auto" w:sz="8" w:space="0"/>
            </w:tcBorders>
            <w:vAlign w:val="center"/>
          </w:tcPr>
          <w:p w14:paraId="3755480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绿信比方案不合理</w:t>
            </w:r>
          </w:p>
        </w:tc>
        <w:tc>
          <w:tcPr>
            <w:tcW w:w="1316" w:type="dxa"/>
            <w:tcBorders>
              <w:top w:val="nil"/>
              <w:left w:val="nil"/>
              <w:bottom w:val="single" w:color="auto" w:sz="8" w:space="0"/>
              <w:right w:val="single" w:color="auto" w:sz="8" w:space="0"/>
            </w:tcBorders>
            <w:vAlign w:val="center"/>
          </w:tcPr>
          <w:p w14:paraId="0823092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调整或增加绿信比方案</w:t>
            </w:r>
          </w:p>
        </w:tc>
        <w:tc>
          <w:tcPr>
            <w:tcW w:w="4272" w:type="dxa"/>
            <w:tcBorders>
              <w:top w:val="nil"/>
              <w:left w:val="nil"/>
              <w:bottom w:val="single" w:color="auto" w:sz="8" w:space="0"/>
              <w:right w:val="single" w:color="auto" w:sz="8" w:space="0"/>
            </w:tcBorders>
            <w:vAlign w:val="center"/>
          </w:tcPr>
          <w:p w14:paraId="52B6B61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已重新调整该相位绿信比方案，该相绿灯放行时间在X-X之间变化，现路口运行能根据车流量变化自适应选择更合理的绿信比方案，减少机动车等待时间。</w:t>
            </w:r>
          </w:p>
        </w:tc>
      </w:tr>
      <w:tr w14:paraId="19E31B35">
        <w:tblPrEx>
          <w:tblCellMar>
            <w:top w:w="0" w:type="dxa"/>
            <w:left w:w="108" w:type="dxa"/>
            <w:bottom w:w="0" w:type="dxa"/>
            <w:right w:w="108" w:type="dxa"/>
          </w:tblCellMar>
        </w:tblPrEx>
        <w:trPr>
          <w:trHeight w:val="997"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3CC481A3">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240DC426">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25F88011">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2A44C52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潮汐流现象突出，增加早晚高峰方案</w:t>
            </w:r>
          </w:p>
        </w:tc>
        <w:tc>
          <w:tcPr>
            <w:tcW w:w="4272" w:type="dxa"/>
            <w:tcBorders>
              <w:top w:val="nil"/>
              <w:left w:val="nil"/>
              <w:bottom w:val="single" w:color="auto" w:sz="8" w:space="0"/>
              <w:right w:val="single" w:color="auto" w:sz="8" w:space="0"/>
            </w:tcBorders>
            <w:vAlign w:val="center"/>
          </w:tcPr>
          <w:p w14:paraId="0D409B5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该路口早晚高峰车流大，路口达到饱和状态，现已设置早晚高峰放行方案，使该路口在不同的时段对应不同的放行方案，减少机动车等待时间。</w:t>
            </w:r>
          </w:p>
        </w:tc>
      </w:tr>
      <w:tr w14:paraId="464A0D6D">
        <w:tblPrEx>
          <w:tblCellMar>
            <w:top w:w="0" w:type="dxa"/>
            <w:left w:w="108" w:type="dxa"/>
            <w:bottom w:w="0" w:type="dxa"/>
            <w:right w:w="108" w:type="dxa"/>
          </w:tblCellMar>
        </w:tblPrEx>
        <w:trPr>
          <w:trHeight w:val="960"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251489E0">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2C97AB3C">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56EE14B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相位设置不合理</w:t>
            </w:r>
          </w:p>
        </w:tc>
        <w:tc>
          <w:tcPr>
            <w:tcW w:w="1316" w:type="dxa"/>
            <w:tcBorders>
              <w:top w:val="nil"/>
              <w:left w:val="nil"/>
              <w:bottom w:val="single" w:color="auto" w:sz="8" w:space="0"/>
              <w:right w:val="single" w:color="auto" w:sz="8" w:space="0"/>
            </w:tcBorders>
            <w:vAlign w:val="center"/>
          </w:tcPr>
          <w:p w14:paraId="54607BE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调整相位相序</w:t>
            </w:r>
          </w:p>
        </w:tc>
        <w:tc>
          <w:tcPr>
            <w:tcW w:w="4272" w:type="dxa"/>
            <w:tcBorders>
              <w:top w:val="nil"/>
              <w:left w:val="nil"/>
              <w:bottom w:val="single" w:color="auto" w:sz="8" w:space="0"/>
              <w:right w:val="single" w:color="auto" w:sz="8" w:space="0"/>
            </w:tcBorders>
            <w:vAlign w:val="center"/>
          </w:tcPr>
          <w:p w14:paraId="091EB8B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已重新设计该路口相位相序。优化后，问题反映进口车流在X相位放行（一次/两次/多次放行），绿灯时间约为X秒，等待时间调整为X秒，满足机动车通行需求。</w:t>
            </w:r>
          </w:p>
        </w:tc>
      </w:tr>
      <w:tr w14:paraId="240BDF41">
        <w:tblPrEx>
          <w:tblCellMar>
            <w:top w:w="0" w:type="dxa"/>
            <w:left w:w="108" w:type="dxa"/>
            <w:bottom w:w="0" w:type="dxa"/>
            <w:right w:w="108" w:type="dxa"/>
          </w:tblCellMar>
        </w:tblPrEx>
        <w:trPr>
          <w:trHeight w:val="960"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221C78A7">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2D5349D8">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47DDFCC4">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硬件问题</w:t>
            </w:r>
          </w:p>
        </w:tc>
        <w:tc>
          <w:tcPr>
            <w:tcW w:w="1316" w:type="dxa"/>
            <w:tcBorders>
              <w:top w:val="nil"/>
              <w:left w:val="nil"/>
              <w:bottom w:val="single" w:color="auto" w:sz="8" w:space="0"/>
              <w:right w:val="single" w:color="auto" w:sz="8" w:space="0"/>
            </w:tcBorders>
            <w:vAlign w:val="center"/>
          </w:tcPr>
          <w:p w14:paraId="29638F74">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线圈损坏</w:t>
            </w:r>
          </w:p>
        </w:tc>
        <w:tc>
          <w:tcPr>
            <w:tcW w:w="4272" w:type="dxa"/>
            <w:tcBorders>
              <w:top w:val="nil"/>
              <w:left w:val="nil"/>
              <w:bottom w:val="single" w:color="auto" w:sz="8" w:space="0"/>
              <w:right w:val="single" w:color="auto" w:sz="8" w:space="0"/>
            </w:tcBorders>
            <w:vAlign w:val="center"/>
          </w:tcPr>
          <w:p w14:paraId="181320C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该路口X进口检测线圈损坏，导致不能准确选择合理的绿信比方案，使X进口绿灯放行时间减少。从而等待时间过长；我们会尽快对线圈进行维检并重新设置。</w:t>
            </w:r>
          </w:p>
        </w:tc>
      </w:tr>
      <w:tr w14:paraId="43D8472C">
        <w:tblPrEx>
          <w:tblCellMar>
            <w:top w:w="0" w:type="dxa"/>
            <w:left w:w="108" w:type="dxa"/>
            <w:bottom w:w="0" w:type="dxa"/>
            <w:right w:w="108" w:type="dxa"/>
          </w:tblCellMar>
        </w:tblPrEx>
        <w:trPr>
          <w:trHeight w:val="960"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6A801B9B">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729B6224">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598530A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现状合理</w:t>
            </w:r>
          </w:p>
        </w:tc>
        <w:tc>
          <w:tcPr>
            <w:tcW w:w="1316" w:type="dxa"/>
            <w:tcBorders>
              <w:top w:val="nil"/>
              <w:left w:val="nil"/>
              <w:bottom w:val="single" w:color="auto" w:sz="8" w:space="0"/>
              <w:right w:val="single" w:color="auto" w:sz="8" w:space="0"/>
            </w:tcBorders>
            <w:vAlign w:val="center"/>
          </w:tcPr>
          <w:p w14:paraId="18A50FA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无需优化，进行解释</w:t>
            </w:r>
          </w:p>
        </w:tc>
        <w:tc>
          <w:tcPr>
            <w:tcW w:w="4272" w:type="dxa"/>
            <w:tcBorders>
              <w:top w:val="nil"/>
              <w:left w:val="nil"/>
              <w:bottom w:val="single" w:color="auto" w:sz="8" w:space="0"/>
              <w:right w:val="single" w:color="auto" w:sz="8" w:space="0"/>
            </w:tcBorders>
            <w:vAlign w:val="center"/>
          </w:tcPr>
          <w:p w14:paraId="7415103B">
            <w:pPr>
              <w:widowControl/>
              <w:spacing w:line="240" w:lineRule="auto"/>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经核查，该车流在周期变化内放行约X秒，等待时间约为X秒，放行时间满足需求；无需优化，我们会持续跟踪该路口运行动态。</w:t>
            </w:r>
          </w:p>
        </w:tc>
      </w:tr>
      <w:tr w14:paraId="4D3165D8">
        <w:tblPrEx>
          <w:tblCellMar>
            <w:top w:w="0" w:type="dxa"/>
            <w:left w:w="108" w:type="dxa"/>
            <w:bottom w:w="0" w:type="dxa"/>
            <w:right w:w="108" w:type="dxa"/>
          </w:tblCellMar>
        </w:tblPrEx>
        <w:trPr>
          <w:trHeight w:val="645" w:hRule="atLeast"/>
          <w:jc w:val="center"/>
        </w:trPr>
        <w:tc>
          <w:tcPr>
            <w:tcW w:w="1402" w:type="dxa"/>
            <w:vMerge w:val="restart"/>
            <w:tcBorders>
              <w:top w:val="nil"/>
              <w:left w:val="single" w:color="auto" w:sz="8" w:space="0"/>
              <w:bottom w:val="single" w:color="000000" w:sz="8" w:space="0"/>
              <w:right w:val="single" w:color="auto" w:sz="8" w:space="0"/>
            </w:tcBorders>
            <w:vAlign w:val="center"/>
          </w:tcPr>
          <w:p w14:paraId="1BC9146E">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路口周期过大</w:t>
            </w:r>
          </w:p>
        </w:tc>
        <w:tc>
          <w:tcPr>
            <w:tcW w:w="1970" w:type="dxa"/>
            <w:vMerge w:val="restart"/>
            <w:tcBorders>
              <w:top w:val="nil"/>
              <w:left w:val="nil"/>
              <w:bottom w:val="single" w:color="auto" w:sz="8" w:space="0"/>
              <w:right w:val="single" w:color="auto" w:sz="8" w:space="0"/>
            </w:tcBorders>
            <w:vAlign w:val="center"/>
          </w:tcPr>
          <w:p w14:paraId="737BF806">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 监控视频、实地调研；</w:t>
            </w:r>
          </w:p>
          <w:p w14:paraId="326D336C">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检查内容：周期、绿信比、投票及饱和度的控制参数、并结合流量、方案选择来判断，主要观察是否存在空放；</w:t>
            </w:r>
          </w:p>
        </w:tc>
        <w:tc>
          <w:tcPr>
            <w:tcW w:w="1030" w:type="dxa"/>
            <w:tcBorders>
              <w:top w:val="nil"/>
              <w:left w:val="nil"/>
              <w:bottom w:val="single" w:color="auto" w:sz="8" w:space="0"/>
              <w:right w:val="single" w:color="auto" w:sz="8" w:space="0"/>
            </w:tcBorders>
            <w:vAlign w:val="center"/>
          </w:tcPr>
          <w:p w14:paraId="4F6B0B15">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周期、绿信比设置不合理</w:t>
            </w:r>
          </w:p>
        </w:tc>
        <w:tc>
          <w:tcPr>
            <w:tcW w:w="1316" w:type="dxa"/>
            <w:tcBorders>
              <w:top w:val="nil"/>
              <w:left w:val="nil"/>
              <w:bottom w:val="single" w:color="auto" w:sz="8" w:space="0"/>
              <w:right w:val="single" w:color="auto" w:sz="8" w:space="0"/>
            </w:tcBorders>
            <w:vAlign w:val="center"/>
          </w:tcPr>
          <w:p w14:paraId="12908EC6">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调整周期及绿信比方案</w:t>
            </w:r>
          </w:p>
        </w:tc>
        <w:tc>
          <w:tcPr>
            <w:tcW w:w="4272" w:type="dxa"/>
            <w:tcBorders>
              <w:top w:val="nil"/>
              <w:left w:val="nil"/>
              <w:bottom w:val="single" w:color="auto" w:sz="8" w:space="0"/>
              <w:right w:val="single" w:color="auto" w:sz="8" w:space="0"/>
            </w:tcBorders>
            <w:vAlign w:val="center"/>
          </w:tcPr>
          <w:p w14:paraId="15E4D1A4">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已重新调整该路口信号周期为X秒，并配合调整各方向的绿灯放行时间，满足该路口现状通行需求。</w:t>
            </w:r>
          </w:p>
        </w:tc>
      </w:tr>
      <w:tr w14:paraId="143B10C6">
        <w:tblPrEx>
          <w:tblCellMar>
            <w:top w:w="0" w:type="dxa"/>
            <w:left w:w="108" w:type="dxa"/>
            <w:bottom w:w="0" w:type="dxa"/>
            <w:right w:w="108" w:type="dxa"/>
          </w:tblCellMar>
        </w:tblPrEx>
        <w:trPr>
          <w:trHeight w:val="633"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16FB146F">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6E94D334">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534A6AE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参数设置不合理</w:t>
            </w:r>
          </w:p>
        </w:tc>
        <w:tc>
          <w:tcPr>
            <w:tcW w:w="1316" w:type="dxa"/>
            <w:tcBorders>
              <w:top w:val="nil"/>
              <w:left w:val="nil"/>
              <w:bottom w:val="single" w:color="auto" w:sz="8" w:space="0"/>
              <w:right w:val="single" w:color="auto" w:sz="8" w:space="0"/>
            </w:tcBorders>
            <w:vAlign w:val="center"/>
          </w:tcPr>
          <w:p w14:paraId="5618431A">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饱和度设置</w:t>
            </w:r>
          </w:p>
        </w:tc>
        <w:tc>
          <w:tcPr>
            <w:tcW w:w="4272" w:type="dxa"/>
            <w:tcBorders>
              <w:top w:val="nil"/>
              <w:left w:val="nil"/>
              <w:bottom w:val="single" w:color="auto" w:sz="8" w:space="0"/>
              <w:right w:val="single" w:color="auto" w:sz="8" w:space="0"/>
            </w:tcBorders>
            <w:vAlign w:val="center"/>
          </w:tcPr>
          <w:p w14:paraId="42072D9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经核查，已重新设置该路口系统参数，使路口能根据当前车流情况选择最优周期。</w:t>
            </w:r>
          </w:p>
        </w:tc>
      </w:tr>
      <w:tr w14:paraId="3B25C15D">
        <w:tblPrEx>
          <w:tblCellMar>
            <w:top w:w="0" w:type="dxa"/>
            <w:left w:w="108" w:type="dxa"/>
            <w:bottom w:w="0" w:type="dxa"/>
            <w:right w:w="108" w:type="dxa"/>
          </w:tblCellMar>
        </w:tblPrEx>
        <w:trPr>
          <w:trHeight w:val="520"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73C3D43C">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3D3CFCBB">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5119EC70">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相位设置不合理</w:t>
            </w:r>
          </w:p>
        </w:tc>
        <w:tc>
          <w:tcPr>
            <w:tcW w:w="1316" w:type="dxa"/>
            <w:tcBorders>
              <w:top w:val="nil"/>
              <w:left w:val="nil"/>
              <w:bottom w:val="single" w:color="auto" w:sz="8" w:space="0"/>
              <w:right w:val="single" w:color="auto" w:sz="8" w:space="0"/>
            </w:tcBorders>
            <w:vAlign w:val="center"/>
          </w:tcPr>
          <w:p w14:paraId="4AB74AA2">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调整相位相序</w:t>
            </w:r>
          </w:p>
        </w:tc>
        <w:tc>
          <w:tcPr>
            <w:tcW w:w="4272" w:type="dxa"/>
            <w:tcBorders>
              <w:top w:val="nil"/>
              <w:left w:val="nil"/>
              <w:bottom w:val="single" w:color="auto" w:sz="8" w:space="0"/>
              <w:right w:val="single" w:color="auto" w:sz="8" w:space="0"/>
            </w:tcBorders>
            <w:vAlign w:val="center"/>
          </w:tcPr>
          <w:p w14:paraId="0F1DE3D6">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已重新调整该路口相位相序。优化后，路口周期为X秒（降低了X秒），使车辆等待时间减少，满足该路口车流通行需求。</w:t>
            </w:r>
          </w:p>
        </w:tc>
      </w:tr>
      <w:tr w14:paraId="72AC267C">
        <w:tblPrEx>
          <w:tblCellMar>
            <w:top w:w="0" w:type="dxa"/>
            <w:left w:w="108" w:type="dxa"/>
            <w:bottom w:w="0" w:type="dxa"/>
            <w:right w:w="108" w:type="dxa"/>
          </w:tblCellMar>
        </w:tblPrEx>
        <w:trPr>
          <w:trHeight w:val="64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1FE763BC">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167C51C9">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3F62E091">
            <w:pPr>
              <w:widowControl/>
              <w:spacing w:line="240" w:lineRule="auto"/>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硬件问题</w:t>
            </w:r>
          </w:p>
        </w:tc>
        <w:tc>
          <w:tcPr>
            <w:tcW w:w="1316" w:type="dxa"/>
            <w:tcBorders>
              <w:top w:val="nil"/>
              <w:left w:val="nil"/>
              <w:bottom w:val="single" w:color="auto" w:sz="8" w:space="0"/>
              <w:right w:val="single" w:color="auto" w:sz="8" w:space="0"/>
            </w:tcBorders>
            <w:vAlign w:val="center"/>
          </w:tcPr>
          <w:p w14:paraId="09C75649">
            <w:pPr>
              <w:widowControl/>
              <w:spacing w:line="240" w:lineRule="auto"/>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雷达设置检查</w:t>
            </w:r>
          </w:p>
        </w:tc>
        <w:tc>
          <w:tcPr>
            <w:tcW w:w="4272" w:type="dxa"/>
            <w:tcBorders>
              <w:top w:val="nil"/>
              <w:left w:val="nil"/>
              <w:bottom w:val="single" w:color="auto" w:sz="8" w:space="0"/>
              <w:right w:val="single" w:color="auto" w:sz="8" w:space="0"/>
            </w:tcBorders>
            <w:vAlign w:val="center"/>
          </w:tcPr>
          <w:p w14:paraId="579BC53E">
            <w:pPr>
              <w:widowControl/>
              <w:spacing w:line="240" w:lineRule="auto"/>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经核查，该路口X进口雷达对应关系设置不合理/雷达敏感度过高/雷达长时间被占用，影响了该路口自适应方案投票，导致周期过大；我们会尽快对雷达进行维检并重新设置。</w:t>
            </w:r>
          </w:p>
        </w:tc>
      </w:tr>
      <w:tr w14:paraId="15E80428">
        <w:tblPrEx>
          <w:tblCellMar>
            <w:top w:w="0" w:type="dxa"/>
            <w:left w:w="108" w:type="dxa"/>
            <w:bottom w:w="0" w:type="dxa"/>
            <w:right w:w="108" w:type="dxa"/>
          </w:tblCellMar>
        </w:tblPrEx>
        <w:trPr>
          <w:trHeight w:val="793"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6B50D241">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0BD76413">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551DF96A">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现状合理</w:t>
            </w:r>
          </w:p>
        </w:tc>
        <w:tc>
          <w:tcPr>
            <w:tcW w:w="1316" w:type="dxa"/>
            <w:tcBorders>
              <w:top w:val="nil"/>
              <w:left w:val="nil"/>
              <w:bottom w:val="single" w:color="auto" w:sz="8" w:space="0"/>
              <w:right w:val="single" w:color="auto" w:sz="8" w:space="0"/>
            </w:tcBorders>
            <w:vAlign w:val="center"/>
          </w:tcPr>
          <w:p w14:paraId="4441B79C">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无需优化，进行解释</w:t>
            </w:r>
          </w:p>
        </w:tc>
        <w:tc>
          <w:tcPr>
            <w:tcW w:w="4272" w:type="dxa"/>
            <w:tcBorders>
              <w:top w:val="nil"/>
              <w:left w:val="nil"/>
              <w:bottom w:val="single" w:color="auto" w:sz="8" w:space="0"/>
              <w:right w:val="single" w:color="auto" w:sz="8" w:space="0"/>
            </w:tcBorders>
            <w:vAlign w:val="center"/>
          </w:tcPr>
          <w:p w14:paraId="0AFB9DE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现路口周期为X秒，由于该路口XXX 原因导致需设置现状周期，考虑到路口现状需要，暂不做改动，我们会持续关注该路口运行动态。</w:t>
            </w:r>
          </w:p>
        </w:tc>
      </w:tr>
      <w:tr w14:paraId="62C12202">
        <w:tblPrEx>
          <w:tblCellMar>
            <w:top w:w="0" w:type="dxa"/>
            <w:left w:w="108" w:type="dxa"/>
            <w:bottom w:w="0" w:type="dxa"/>
            <w:right w:w="108" w:type="dxa"/>
          </w:tblCellMar>
        </w:tblPrEx>
        <w:trPr>
          <w:trHeight w:val="976" w:hRule="atLeast"/>
          <w:jc w:val="center"/>
        </w:trPr>
        <w:tc>
          <w:tcPr>
            <w:tcW w:w="1402" w:type="dxa"/>
            <w:vMerge w:val="restart"/>
            <w:tcBorders>
              <w:top w:val="nil"/>
              <w:left w:val="single" w:color="auto" w:sz="8" w:space="0"/>
              <w:bottom w:val="single" w:color="000000" w:sz="8" w:space="0"/>
              <w:right w:val="single" w:color="auto" w:sz="8" w:space="0"/>
            </w:tcBorders>
            <w:vAlign w:val="center"/>
          </w:tcPr>
          <w:p w14:paraId="7F5BA47E">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冲突</w:t>
            </w:r>
          </w:p>
        </w:tc>
        <w:tc>
          <w:tcPr>
            <w:tcW w:w="1970" w:type="dxa"/>
            <w:vMerge w:val="restart"/>
            <w:tcBorders>
              <w:top w:val="nil"/>
              <w:left w:val="nil"/>
              <w:bottom w:val="single" w:color="auto" w:sz="4" w:space="0"/>
              <w:right w:val="single" w:color="auto" w:sz="8" w:space="0"/>
            </w:tcBorders>
            <w:vAlign w:val="center"/>
          </w:tcPr>
          <w:p w14:paraId="23396D5D">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 监控视频、实地调研；</w:t>
            </w:r>
          </w:p>
          <w:p w14:paraId="04C6EE3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检查内容：分流、汇流冲突、行人冲突、箭头灯使用情况、全屏灯右转冲突等；</w:t>
            </w:r>
          </w:p>
        </w:tc>
        <w:tc>
          <w:tcPr>
            <w:tcW w:w="1030" w:type="dxa"/>
            <w:vMerge w:val="restart"/>
            <w:tcBorders>
              <w:top w:val="nil"/>
              <w:left w:val="single" w:color="auto" w:sz="8" w:space="0"/>
              <w:bottom w:val="single" w:color="000000" w:sz="8" w:space="0"/>
              <w:right w:val="single" w:color="auto" w:sz="8" w:space="0"/>
            </w:tcBorders>
            <w:vAlign w:val="center"/>
          </w:tcPr>
          <w:p w14:paraId="45ABD750">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相位设置不合理</w:t>
            </w:r>
          </w:p>
        </w:tc>
        <w:tc>
          <w:tcPr>
            <w:tcW w:w="1316" w:type="dxa"/>
            <w:tcBorders>
              <w:top w:val="nil"/>
              <w:left w:val="nil"/>
              <w:bottom w:val="single" w:color="auto" w:sz="8" w:space="0"/>
              <w:right w:val="single" w:color="auto" w:sz="8" w:space="0"/>
            </w:tcBorders>
            <w:vAlign w:val="center"/>
          </w:tcPr>
          <w:p w14:paraId="0C15262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设置人车分离相位</w:t>
            </w:r>
          </w:p>
        </w:tc>
        <w:tc>
          <w:tcPr>
            <w:tcW w:w="4272" w:type="dxa"/>
            <w:tcBorders>
              <w:top w:val="nil"/>
              <w:left w:val="nil"/>
              <w:bottom w:val="single" w:color="auto" w:sz="8" w:space="0"/>
              <w:right w:val="single" w:color="auto" w:sz="8" w:space="0"/>
            </w:tcBorders>
            <w:vAlign w:val="center"/>
          </w:tcPr>
          <w:p w14:paraId="2C346FC4">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已重新设计该路口的相位，优化后问题反映的车流与X方向车流放行，绿灯放行时间约为X秒，人行过街与（X方向车流/单独）放行，绿灯放行时间约为X秒，缓解人车冲突问题。</w:t>
            </w:r>
          </w:p>
        </w:tc>
      </w:tr>
      <w:tr w14:paraId="04ACC99E">
        <w:tblPrEx>
          <w:tblCellMar>
            <w:top w:w="0" w:type="dxa"/>
            <w:left w:w="108" w:type="dxa"/>
            <w:bottom w:w="0" w:type="dxa"/>
            <w:right w:w="108" w:type="dxa"/>
          </w:tblCellMar>
        </w:tblPrEx>
        <w:trPr>
          <w:trHeight w:val="644"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5234AB0C">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4" w:space="0"/>
              <w:right w:val="single" w:color="auto" w:sz="8" w:space="0"/>
            </w:tcBorders>
            <w:vAlign w:val="center"/>
          </w:tcPr>
          <w:p w14:paraId="538116BE">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1F658F9B">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42DF60BC">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调整相位相序</w:t>
            </w:r>
          </w:p>
        </w:tc>
        <w:tc>
          <w:tcPr>
            <w:tcW w:w="4272" w:type="dxa"/>
            <w:tcBorders>
              <w:top w:val="nil"/>
              <w:left w:val="nil"/>
              <w:bottom w:val="single" w:color="auto" w:sz="8" w:space="0"/>
              <w:right w:val="single" w:color="auto" w:sz="8" w:space="0"/>
            </w:tcBorders>
            <w:vAlign w:val="center"/>
          </w:tcPr>
          <w:p w14:paraId="1C5E2CD5">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已重新设计该路口的相位相序，使问题反映进口有冲突的X与X分开放行，分离冲突。</w:t>
            </w:r>
          </w:p>
        </w:tc>
      </w:tr>
      <w:tr w14:paraId="0936B936">
        <w:tblPrEx>
          <w:tblCellMar>
            <w:top w:w="0" w:type="dxa"/>
            <w:left w:w="108" w:type="dxa"/>
            <w:bottom w:w="0" w:type="dxa"/>
            <w:right w:w="108" w:type="dxa"/>
          </w:tblCellMar>
        </w:tblPrEx>
        <w:trPr>
          <w:trHeight w:val="64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481481E3">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4" w:space="0"/>
              <w:right w:val="single" w:color="auto" w:sz="8" w:space="0"/>
            </w:tcBorders>
            <w:vAlign w:val="center"/>
          </w:tcPr>
          <w:p w14:paraId="7BA67AB0">
            <w:pPr>
              <w:widowControl/>
              <w:spacing w:line="240" w:lineRule="auto"/>
              <w:jc w:val="center"/>
              <w:rPr>
                <w:rFonts w:hint="eastAsia" w:ascii="仿宋" w:hAnsi="仿宋" w:eastAsia="仿宋" w:cs="仿宋"/>
                <w:bCs/>
                <w:sz w:val="21"/>
                <w:szCs w:val="21"/>
              </w:rPr>
            </w:pPr>
          </w:p>
        </w:tc>
        <w:tc>
          <w:tcPr>
            <w:tcW w:w="1030" w:type="dxa"/>
            <w:vMerge w:val="restart"/>
            <w:tcBorders>
              <w:top w:val="nil"/>
              <w:left w:val="single" w:color="auto" w:sz="8" w:space="0"/>
              <w:bottom w:val="single" w:color="000000" w:sz="8" w:space="0"/>
              <w:right w:val="single" w:color="auto" w:sz="8" w:space="0"/>
            </w:tcBorders>
            <w:vAlign w:val="center"/>
          </w:tcPr>
          <w:p w14:paraId="54617E3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做特殊设置</w:t>
            </w:r>
          </w:p>
        </w:tc>
        <w:tc>
          <w:tcPr>
            <w:tcW w:w="1316" w:type="dxa"/>
            <w:tcBorders>
              <w:top w:val="nil"/>
              <w:left w:val="nil"/>
              <w:bottom w:val="single" w:color="auto" w:sz="8" w:space="0"/>
              <w:right w:val="single" w:color="auto" w:sz="8" w:space="0"/>
            </w:tcBorders>
            <w:vAlign w:val="center"/>
          </w:tcPr>
          <w:p w14:paraId="0EE22E2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利用早切断、迟启动等设置</w:t>
            </w:r>
          </w:p>
        </w:tc>
        <w:tc>
          <w:tcPr>
            <w:tcW w:w="4272" w:type="dxa"/>
            <w:tcBorders>
              <w:top w:val="nil"/>
              <w:left w:val="nil"/>
              <w:bottom w:val="single" w:color="auto" w:sz="8" w:space="0"/>
              <w:right w:val="single" w:color="auto" w:sz="8" w:space="0"/>
            </w:tcBorders>
            <w:vAlign w:val="center"/>
          </w:tcPr>
          <w:p w14:paraId="296916EE">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已对问题反映进口X号机动车灯组设置早切断/迟启动X秒，让行人/机动车先清空，避免/减少XX与XX的冲突。</w:t>
            </w:r>
          </w:p>
        </w:tc>
      </w:tr>
      <w:tr w14:paraId="71F88AAF">
        <w:tblPrEx>
          <w:tblCellMar>
            <w:top w:w="0" w:type="dxa"/>
            <w:left w:w="108" w:type="dxa"/>
            <w:bottom w:w="0" w:type="dxa"/>
            <w:right w:w="108" w:type="dxa"/>
          </w:tblCellMar>
        </w:tblPrEx>
        <w:trPr>
          <w:trHeight w:val="64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0C513AD9">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4" w:space="0"/>
              <w:right w:val="single" w:color="auto" w:sz="8" w:space="0"/>
            </w:tcBorders>
            <w:vAlign w:val="center"/>
          </w:tcPr>
          <w:p w14:paraId="123C64A7">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04665573">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0ED8A04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增加全红时间</w:t>
            </w:r>
          </w:p>
        </w:tc>
        <w:tc>
          <w:tcPr>
            <w:tcW w:w="4272" w:type="dxa"/>
            <w:tcBorders>
              <w:top w:val="nil"/>
              <w:left w:val="nil"/>
              <w:bottom w:val="single" w:color="auto" w:sz="8" w:space="0"/>
              <w:right w:val="single" w:color="auto" w:sz="8" w:space="0"/>
            </w:tcBorders>
            <w:vAlign w:val="center"/>
          </w:tcPr>
          <w:p w14:paraId="1EDE9E36">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已在X相位增加X秒全红时间，让车流先清空，减少XX与XX的冲突。</w:t>
            </w:r>
          </w:p>
        </w:tc>
      </w:tr>
      <w:tr w14:paraId="6D4B24FA">
        <w:tblPrEx>
          <w:tblCellMar>
            <w:top w:w="0" w:type="dxa"/>
            <w:left w:w="108" w:type="dxa"/>
            <w:bottom w:w="0" w:type="dxa"/>
            <w:right w:w="108" w:type="dxa"/>
          </w:tblCellMar>
        </w:tblPrEx>
        <w:trPr>
          <w:trHeight w:val="127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75F68F7D">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4" w:space="0"/>
              <w:right w:val="single" w:color="auto" w:sz="8" w:space="0"/>
            </w:tcBorders>
            <w:vAlign w:val="center"/>
          </w:tcPr>
          <w:p w14:paraId="385062B6">
            <w:pPr>
              <w:widowControl/>
              <w:spacing w:line="240" w:lineRule="auto"/>
              <w:jc w:val="center"/>
              <w:rPr>
                <w:rFonts w:hint="eastAsia" w:ascii="仿宋" w:hAnsi="仿宋" w:eastAsia="仿宋" w:cs="仿宋"/>
                <w:bCs/>
                <w:sz w:val="21"/>
                <w:szCs w:val="21"/>
              </w:rPr>
            </w:pPr>
          </w:p>
        </w:tc>
        <w:tc>
          <w:tcPr>
            <w:tcW w:w="1030" w:type="dxa"/>
            <w:vMerge w:val="restart"/>
            <w:tcBorders>
              <w:top w:val="nil"/>
              <w:left w:val="single" w:color="auto" w:sz="8" w:space="0"/>
              <w:bottom w:val="single" w:color="000000" w:sz="8" w:space="0"/>
              <w:right w:val="single" w:color="auto" w:sz="8" w:space="0"/>
            </w:tcBorders>
            <w:vAlign w:val="center"/>
          </w:tcPr>
          <w:p w14:paraId="4498D45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灯具、渠化设置优化</w:t>
            </w:r>
          </w:p>
        </w:tc>
        <w:tc>
          <w:tcPr>
            <w:tcW w:w="1316" w:type="dxa"/>
            <w:tcBorders>
              <w:top w:val="nil"/>
              <w:left w:val="nil"/>
              <w:bottom w:val="single" w:color="auto" w:sz="8" w:space="0"/>
              <w:right w:val="single" w:color="auto" w:sz="8" w:space="0"/>
            </w:tcBorders>
            <w:vAlign w:val="center"/>
          </w:tcPr>
          <w:p w14:paraId="395C6F95">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全屏灯更换为箭头灯</w:t>
            </w:r>
          </w:p>
        </w:tc>
        <w:tc>
          <w:tcPr>
            <w:tcW w:w="4272" w:type="dxa"/>
            <w:tcBorders>
              <w:top w:val="nil"/>
              <w:left w:val="nil"/>
              <w:bottom w:val="single" w:color="auto" w:sz="8" w:space="0"/>
              <w:right w:val="single" w:color="auto" w:sz="8" w:space="0"/>
            </w:tcBorders>
            <w:vAlign w:val="center"/>
          </w:tcPr>
          <w:p w14:paraId="63ECBF7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由于全屏灯红灯时在安全避让的情况下可右转，故会与X进口人行过街产生冲突，现把该全屏灯更换为箭头灯，右转车需在箭头灯绿灯时才能通行，从而分离了人车冲突。我们会尽快对灯组进行重新设置。</w:t>
            </w:r>
          </w:p>
        </w:tc>
      </w:tr>
      <w:tr w14:paraId="4DA135BC">
        <w:tblPrEx>
          <w:tblCellMar>
            <w:top w:w="0" w:type="dxa"/>
            <w:left w:w="108" w:type="dxa"/>
            <w:bottom w:w="0" w:type="dxa"/>
            <w:right w:w="108" w:type="dxa"/>
          </w:tblCellMar>
        </w:tblPrEx>
        <w:trPr>
          <w:trHeight w:val="64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18AF91ED">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4" w:space="0"/>
              <w:right w:val="single" w:color="auto" w:sz="8" w:space="0"/>
            </w:tcBorders>
            <w:vAlign w:val="center"/>
          </w:tcPr>
          <w:p w14:paraId="235923AD">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147D13FD">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1360306B">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左转车冲突可设置待转区</w:t>
            </w:r>
          </w:p>
        </w:tc>
        <w:tc>
          <w:tcPr>
            <w:tcW w:w="4272" w:type="dxa"/>
            <w:tcBorders>
              <w:top w:val="nil"/>
              <w:left w:val="nil"/>
              <w:bottom w:val="single" w:color="auto" w:sz="8" w:space="0"/>
              <w:right w:val="single" w:color="auto" w:sz="8" w:space="0"/>
            </w:tcBorders>
            <w:vAlign w:val="center"/>
          </w:tcPr>
          <w:p w14:paraId="24012F4D">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已把X进口设置为左转待转区，目的是XXX。</w:t>
            </w:r>
          </w:p>
        </w:tc>
      </w:tr>
      <w:tr w14:paraId="697AA5D2">
        <w:tblPrEx>
          <w:tblCellMar>
            <w:top w:w="0" w:type="dxa"/>
            <w:left w:w="108" w:type="dxa"/>
            <w:bottom w:w="0" w:type="dxa"/>
            <w:right w:w="108" w:type="dxa"/>
          </w:tblCellMar>
        </w:tblPrEx>
        <w:trPr>
          <w:trHeight w:val="190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72D4AA78">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4" w:space="0"/>
              <w:right w:val="single" w:color="auto" w:sz="8" w:space="0"/>
            </w:tcBorders>
            <w:vAlign w:val="center"/>
          </w:tcPr>
          <w:p w14:paraId="75E46A1C">
            <w:pPr>
              <w:widowControl/>
              <w:spacing w:line="240" w:lineRule="auto"/>
              <w:jc w:val="center"/>
              <w:rPr>
                <w:rFonts w:hint="eastAsia" w:ascii="仿宋" w:hAnsi="仿宋" w:eastAsia="仿宋" w:cs="仿宋"/>
                <w:bCs/>
                <w:sz w:val="21"/>
                <w:szCs w:val="21"/>
              </w:rPr>
            </w:pPr>
          </w:p>
        </w:tc>
        <w:tc>
          <w:tcPr>
            <w:tcW w:w="1030" w:type="dxa"/>
            <w:tcBorders>
              <w:top w:val="nil"/>
              <w:left w:val="single" w:color="auto" w:sz="8" w:space="0"/>
              <w:bottom w:val="single" w:color="000000" w:sz="8" w:space="0"/>
              <w:right w:val="single" w:color="auto" w:sz="8" w:space="0"/>
            </w:tcBorders>
            <w:vAlign w:val="center"/>
          </w:tcPr>
          <w:p w14:paraId="2A36A7BD">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现状合理</w:t>
            </w:r>
          </w:p>
        </w:tc>
        <w:tc>
          <w:tcPr>
            <w:tcW w:w="1316" w:type="dxa"/>
            <w:tcBorders>
              <w:top w:val="nil"/>
              <w:left w:val="single" w:color="auto" w:sz="8" w:space="0"/>
              <w:bottom w:val="single" w:color="000000" w:sz="8" w:space="0"/>
              <w:right w:val="single" w:color="auto" w:sz="8" w:space="0"/>
            </w:tcBorders>
            <w:vAlign w:val="center"/>
          </w:tcPr>
          <w:p w14:paraId="33E05DF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无需优化，进行解释</w:t>
            </w:r>
          </w:p>
        </w:tc>
        <w:tc>
          <w:tcPr>
            <w:tcW w:w="4272" w:type="dxa"/>
            <w:tcBorders>
              <w:top w:val="nil"/>
              <w:left w:val="nil"/>
              <w:bottom w:val="single" w:color="auto" w:sz="4" w:space="0"/>
              <w:right w:val="single" w:color="auto" w:sz="8" w:space="0"/>
            </w:tcBorders>
            <w:vAlign w:val="center"/>
          </w:tcPr>
          <w:p w14:paraId="4DE27FE0">
            <w:pPr>
              <w:widowControl/>
              <w:spacing w:line="240" w:lineRule="auto"/>
              <w:jc w:val="center"/>
              <w:rPr>
                <w:rFonts w:hint="eastAsia" w:ascii="仿宋" w:hAnsi="仿宋" w:eastAsia="仿宋" w:cs="仿宋"/>
                <w:bCs/>
                <w:color w:val="000000"/>
                <w:sz w:val="21"/>
                <w:szCs w:val="21"/>
              </w:rPr>
            </w:pPr>
            <w:r>
              <w:rPr>
                <w:rFonts w:hint="eastAsia" w:ascii="仿宋" w:hAnsi="仿宋" w:eastAsia="仿宋" w:cs="仿宋"/>
                <w:bCs/>
                <w:color w:val="000000"/>
                <w:sz w:val="21"/>
                <w:szCs w:val="21"/>
              </w:rPr>
              <w:t>①（用于一般冲突）行人较少，车流大，全屏灯控制，安全避让通过的情况下允许存在冲突；</w:t>
            </w:r>
          </w:p>
          <w:p w14:paraId="20153D01">
            <w:pPr>
              <w:widowControl/>
              <w:spacing w:line="240" w:lineRule="auto"/>
              <w:jc w:val="center"/>
              <w:rPr>
                <w:rFonts w:hint="eastAsia" w:ascii="仿宋" w:hAnsi="仿宋" w:eastAsia="仿宋" w:cs="仿宋"/>
                <w:bCs/>
                <w:sz w:val="21"/>
                <w:szCs w:val="21"/>
              </w:rPr>
            </w:pPr>
            <w:r>
              <w:rPr>
                <w:rFonts w:hint="eastAsia" w:ascii="仿宋" w:hAnsi="仿宋" w:eastAsia="仿宋" w:cs="仿宋"/>
                <w:bCs/>
                <w:color w:val="000000"/>
                <w:sz w:val="21"/>
                <w:szCs w:val="21"/>
              </w:rPr>
              <w:t>②（用于全屏灯对向同放路口）在</w:t>
            </w:r>
            <w:r>
              <w:rPr>
                <w:rFonts w:hint="eastAsia" w:ascii="仿宋" w:hAnsi="仿宋" w:eastAsia="仿宋" w:cs="仿宋"/>
                <w:bCs/>
                <w:sz w:val="21"/>
                <w:szCs w:val="21"/>
              </w:rPr>
              <w:t>有些路口由于受到道路宽度的限制，无法将各个流向的车辆分离出来，在转弯车辆较少的情况下，会同时放行同向车辆和行人，以提高通行效率。如果转弯车流增大，我们会考虑调整运行方案，谢谢反映情况。</w:t>
            </w:r>
          </w:p>
        </w:tc>
      </w:tr>
      <w:tr w14:paraId="7A0C6D0C">
        <w:tblPrEx>
          <w:tblCellMar>
            <w:top w:w="0" w:type="dxa"/>
            <w:left w:w="108" w:type="dxa"/>
            <w:bottom w:w="0" w:type="dxa"/>
            <w:right w:w="108" w:type="dxa"/>
          </w:tblCellMar>
        </w:tblPrEx>
        <w:trPr>
          <w:trHeight w:val="900" w:hRule="atLeast"/>
          <w:jc w:val="center"/>
        </w:trPr>
        <w:tc>
          <w:tcPr>
            <w:tcW w:w="1402" w:type="dxa"/>
            <w:vMerge w:val="restart"/>
            <w:tcBorders>
              <w:top w:val="nil"/>
              <w:left w:val="single" w:color="auto" w:sz="8" w:space="0"/>
              <w:bottom w:val="single" w:color="000000" w:sz="8" w:space="0"/>
              <w:right w:val="single" w:color="auto" w:sz="8" w:space="0"/>
            </w:tcBorders>
            <w:vAlign w:val="center"/>
          </w:tcPr>
          <w:p w14:paraId="0827B60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解释类</w:t>
            </w:r>
          </w:p>
        </w:tc>
        <w:tc>
          <w:tcPr>
            <w:tcW w:w="1970" w:type="dxa"/>
            <w:vMerge w:val="restart"/>
            <w:tcBorders>
              <w:top w:val="single" w:color="auto" w:sz="4" w:space="0"/>
              <w:left w:val="nil"/>
              <w:bottom w:val="single" w:color="auto" w:sz="8" w:space="0"/>
              <w:right w:val="single" w:color="auto" w:sz="8" w:space="0"/>
            </w:tcBorders>
            <w:vAlign w:val="center"/>
          </w:tcPr>
          <w:p w14:paraId="5ADE6D4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 监控视频、实地调研；</w:t>
            </w:r>
          </w:p>
          <w:p w14:paraId="7636DF5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检查方向：常识性回复、路口相关的特殊情况及控制、临时方案等；</w:t>
            </w:r>
          </w:p>
        </w:tc>
        <w:tc>
          <w:tcPr>
            <w:tcW w:w="1030" w:type="dxa"/>
            <w:tcBorders>
              <w:top w:val="nil"/>
              <w:left w:val="nil"/>
              <w:bottom w:val="single" w:color="auto" w:sz="8" w:space="0"/>
              <w:right w:val="single" w:color="auto" w:sz="8" w:space="0"/>
            </w:tcBorders>
            <w:vAlign w:val="center"/>
          </w:tcPr>
          <w:p w14:paraId="406BB22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特殊控制</w:t>
            </w:r>
          </w:p>
        </w:tc>
        <w:tc>
          <w:tcPr>
            <w:tcW w:w="1316" w:type="dxa"/>
            <w:tcBorders>
              <w:top w:val="nil"/>
              <w:left w:val="nil"/>
              <w:bottom w:val="single" w:color="auto" w:sz="8" w:space="0"/>
              <w:right w:val="single" w:color="auto" w:sz="8" w:space="0"/>
            </w:tcBorders>
            <w:vAlign w:val="center"/>
          </w:tcPr>
          <w:p w14:paraId="2FB6FCD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上桥位</w:t>
            </w:r>
          </w:p>
        </w:tc>
        <w:tc>
          <w:tcPr>
            <w:tcW w:w="4272" w:type="dxa"/>
            <w:tcBorders>
              <w:top w:val="single" w:color="auto" w:sz="4" w:space="0"/>
              <w:left w:val="nil"/>
              <w:bottom w:val="single" w:color="auto" w:sz="8" w:space="0"/>
              <w:right w:val="single" w:color="auto" w:sz="8" w:space="0"/>
            </w:tcBorders>
            <w:vAlign w:val="center"/>
          </w:tcPr>
          <w:p w14:paraId="1A05244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该上桥位的分流措施一般在车流高峰期实施，平、低峰期无需进行分流；开灯时间为XX点-XX点，其余时间为关灯。</w:t>
            </w:r>
          </w:p>
        </w:tc>
      </w:tr>
      <w:tr w14:paraId="78D45515">
        <w:tblPrEx>
          <w:tblCellMar>
            <w:top w:w="0" w:type="dxa"/>
            <w:left w:w="108" w:type="dxa"/>
            <w:bottom w:w="0" w:type="dxa"/>
            <w:right w:w="108" w:type="dxa"/>
          </w:tblCellMar>
        </w:tblPrEx>
        <w:trPr>
          <w:trHeight w:val="624"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3B5C8B44">
            <w:pPr>
              <w:widowControl/>
              <w:spacing w:line="240" w:lineRule="auto"/>
              <w:jc w:val="center"/>
              <w:rPr>
                <w:rFonts w:hint="eastAsia" w:ascii="仿宋" w:hAnsi="仿宋" w:eastAsia="仿宋" w:cs="仿宋"/>
                <w:bCs/>
                <w:sz w:val="21"/>
                <w:szCs w:val="21"/>
              </w:rPr>
            </w:pPr>
          </w:p>
        </w:tc>
        <w:tc>
          <w:tcPr>
            <w:tcW w:w="1970" w:type="dxa"/>
            <w:vMerge w:val="continue"/>
            <w:tcBorders>
              <w:top w:val="single" w:color="auto" w:sz="4" w:space="0"/>
              <w:left w:val="nil"/>
              <w:bottom w:val="single" w:color="auto" w:sz="8" w:space="0"/>
              <w:right w:val="single" w:color="auto" w:sz="8" w:space="0"/>
            </w:tcBorders>
            <w:vAlign w:val="center"/>
          </w:tcPr>
          <w:p w14:paraId="42528FDC">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16334F5B">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常识类</w:t>
            </w:r>
          </w:p>
        </w:tc>
        <w:tc>
          <w:tcPr>
            <w:tcW w:w="1316" w:type="dxa"/>
            <w:tcBorders>
              <w:top w:val="nil"/>
              <w:left w:val="nil"/>
              <w:bottom w:val="single" w:color="auto" w:sz="8" w:space="0"/>
              <w:right w:val="single" w:color="auto" w:sz="8" w:space="0"/>
            </w:tcBorders>
            <w:vAlign w:val="center"/>
          </w:tcPr>
          <w:p w14:paraId="66348694">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综合待转区</w:t>
            </w:r>
          </w:p>
        </w:tc>
        <w:tc>
          <w:tcPr>
            <w:tcW w:w="4272" w:type="dxa"/>
            <w:tcBorders>
              <w:top w:val="nil"/>
              <w:left w:val="nil"/>
              <w:bottom w:val="single" w:color="auto" w:sz="8" w:space="0"/>
              <w:right w:val="single" w:color="auto" w:sz="8" w:space="0"/>
            </w:tcBorders>
            <w:vAlign w:val="center"/>
          </w:tcPr>
          <w:p w14:paraId="4CEF3E41">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车辆遇到第一个红绿灯，按灯号及标志牌提示，相应的左转车或直行右转车进入等候区，等候区里的车辆遇绿即可行驶。</w:t>
            </w:r>
          </w:p>
        </w:tc>
      </w:tr>
      <w:tr w14:paraId="2FD8FAEE">
        <w:tblPrEx>
          <w:tblCellMar>
            <w:top w:w="0" w:type="dxa"/>
            <w:left w:w="108" w:type="dxa"/>
            <w:bottom w:w="0" w:type="dxa"/>
            <w:right w:w="108" w:type="dxa"/>
          </w:tblCellMar>
        </w:tblPrEx>
        <w:trPr>
          <w:trHeight w:val="127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5AF8A007">
            <w:pPr>
              <w:widowControl/>
              <w:spacing w:line="240" w:lineRule="auto"/>
              <w:jc w:val="center"/>
              <w:rPr>
                <w:rFonts w:hint="eastAsia" w:ascii="仿宋" w:hAnsi="仿宋" w:eastAsia="仿宋" w:cs="仿宋"/>
                <w:bCs/>
                <w:sz w:val="21"/>
                <w:szCs w:val="21"/>
              </w:rPr>
            </w:pPr>
          </w:p>
        </w:tc>
        <w:tc>
          <w:tcPr>
            <w:tcW w:w="1970" w:type="dxa"/>
            <w:vMerge w:val="continue"/>
            <w:tcBorders>
              <w:top w:val="single" w:color="auto" w:sz="4" w:space="0"/>
              <w:left w:val="nil"/>
              <w:bottom w:val="single" w:color="auto" w:sz="8" w:space="0"/>
              <w:right w:val="single" w:color="auto" w:sz="8" w:space="0"/>
            </w:tcBorders>
            <w:vAlign w:val="center"/>
          </w:tcPr>
          <w:p w14:paraId="05C94BB4">
            <w:pPr>
              <w:widowControl/>
              <w:spacing w:line="240" w:lineRule="auto"/>
              <w:jc w:val="center"/>
              <w:rPr>
                <w:rFonts w:hint="eastAsia" w:ascii="仿宋" w:hAnsi="仿宋" w:eastAsia="仿宋" w:cs="仿宋"/>
                <w:bCs/>
                <w:sz w:val="21"/>
                <w:szCs w:val="21"/>
              </w:rPr>
            </w:pPr>
          </w:p>
        </w:tc>
        <w:tc>
          <w:tcPr>
            <w:tcW w:w="1030" w:type="dxa"/>
            <w:tcBorders>
              <w:top w:val="nil"/>
              <w:left w:val="nil"/>
              <w:bottom w:val="single" w:color="auto" w:sz="8" w:space="0"/>
              <w:right w:val="single" w:color="auto" w:sz="8" w:space="0"/>
            </w:tcBorders>
            <w:vAlign w:val="center"/>
          </w:tcPr>
          <w:p w14:paraId="6D747895">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常识类　</w:t>
            </w:r>
          </w:p>
        </w:tc>
        <w:tc>
          <w:tcPr>
            <w:tcW w:w="1316" w:type="dxa"/>
            <w:tcBorders>
              <w:top w:val="nil"/>
              <w:left w:val="nil"/>
              <w:bottom w:val="single" w:color="auto" w:sz="8" w:space="0"/>
              <w:right w:val="single" w:color="auto" w:sz="8" w:space="0"/>
            </w:tcBorders>
            <w:vAlign w:val="center"/>
          </w:tcPr>
          <w:p w14:paraId="2610E97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全屏灯红灯亮时可右转</w:t>
            </w:r>
          </w:p>
        </w:tc>
        <w:tc>
          <w:tcPr>
            <w:tcW w:w="4272" w:type="dxa"/>
            <w:tcBorders>
              <w:top w:val="nil"/>
              <w:left w:val="nil"/>
              <w:bottom w:val="single" w:color="auto" w:sz="8" w:space="0"/>
              <w:right w:val="single" w:color="auto" w:sz="8" w:space="0"/>
            </w:tcBorders>
            <w:vAlign w:val="center"/>
          </w:tcPr>
          <w:p w14:paraId="065AB98A">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你好，如果是全屏灯，交通法明确规定，全屏灯的红灯亮时，右转车在确保安全的情况下可以通行，除非有“红灯亮时不能右转”的标志牌禁止通行。如果是箭头红灯时，禁止通行。</w:t>
            </w:r>
          </w:p>
        </w:tc>
      </w:tr>
      <w:tr w14:paraId="29CEC8F3">
        <w:tblPrEx>
          <w:tblCellMar>
            <w:top w:w="0" w:type="dxa"/>
            <w:left w:w="108" w:type="dxa"/>
            <w:bottom w:w="0" w:type="dxa"/>
            <w:right w:w="108" w:type="dxa"/>
          </w:tblCellMar>
        </w:tblPrEx>
        <w:trPr>
          <w:trHeight w:val="1275" w:hRule="atLeast"/>
          <w:jc w:val="center"/>
        </w:trPr>
        <w:tc>
          <w:tcPr>
            <w:tcW w:w="1402" w:type="dxa"/>
            <w:vMerge w:val="restart"/>
            <w:tcBorders>
              <w:top w:val="nil"/>
              <w:left w:val="single" w:color="auto" w:sz="8" w:space="0"/>
              <w:bottom w:val="single" w:color="000000" w:sz="8" w:space="0"/>
              <w:right w:val="single" w:color="auto" w:sz="8" w:space="0"/>
            </w:tcBorders>
            <w:vAlign w:val="center"/>
          </w:tcPr>
          <w:p w14:paraId="3D91426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配套设施类及其他</w:t>
            </w:r>
          </w:p>
        </w:tc>
        <w:tc>
          <w:tcPr>
            <w:tcW w:w="1970" w:type="dxa"/>
            <w:vMerge w:val="restart"/>
            <w:tcBorders>
              <w:top w:val="nil"/>
              <w:left w:val="nil"/>
              <w:bottom w:val="single" w:color="auto" w:sz="8" w:space="0"/>
              <w:right w:val="single" w:color="auto" w:sz="8" w:space="0"/>
            </w:tcBorders>
            <w:vAlign w:val="center"/>
          </w:tcPr>
          <w:p w14:paraId="30184D0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解释类</w:t>
            </w:r>
          </w:p>
          <w:p w14:paraId="1C2B8C6A">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检查手段：绿路设置文档、监控视频、实地调研；</w:t>
            </w:r>
          </w:p>
          <w:p w14:paraId="48E911E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考虑方向：路口及路段运行情况、绿路维检情况、绿路计划等；</w:t>
            </w:r>
          </w:p>
        </w:tc>
        <w:tc>
          <w:tcPr>
            <w:tcW w:w="1030" w:type="dxa"/>
            <w:vMerge w:val="restart"/>
            <w:tcBorders>
              <w:top w:val="nil"/>
              <w:left w:val="single" w:color="auto" w:sz="8" w:space="0"/>
              <w:bottom w:val="single" w:color="000000" w:sz="8" w:space="0"/>
              <w:right w:val="single" w:color="auto" w:sz="8" w:space="0"/>
            </w:tcBorders>
            <w:vAlign w:val="center"/>
          </w:tcPr>
          <w:p w14:paraId="40A81139">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绿路</w:t>
            </w:r>
          </w:p>
        </w:tc>
        <w:tc>
          <w:tcPr>
            <w:tcW w:w="1316" w:type="dxa"/>
            <w:tcBorders>
              <w:top w:val="nil"/>
              <w:left w:val="single" w:color="auto" w:sz="8" w:space="0"/>
              <w:bottom w:val="single" w:color="000000" w:sz="8" w:space="0"/>
              <w:right w:val="single" w:color="auto" w:sz="8" w:space="0"/>
            </w:tcBorders>
            <w:vAlign w:val="center"/>
          </w:tcPr>
          <w:p w14:paraId="321C0D40">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已做绿路</w:t>
            </w:r>
          </w:p>
        </w:tc>
        <w:tc>
          <w:tcPr>
            <w:tcW w:w="4272" w:type="dxa"/>
            <w:tcBorders>
              <w:top w:val="nil"/>
              <w:left w:val="single" w:color="auto" w:sz="8" w:space="0"/>
              <w:bottom w:val="single" w:color="000000" w:sz="8" w:space="0"/>
              <w:right w:val="single" w:color="auto" w:sz="8" w:space="0"/>
            </w:tcBorders>
            <w:vAlign w:val="center"/>
          </w:tcPr>
          <w:p w14:paraId="23FF75A1">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该路口连同XX路口/该路段已设置绿路方案，采用XX式协调控制，平峰时候通行顺畅，早晚高峰由于车流量较大，车速较慢，协调效果相对不明显。现状放行方案已较为合理，车主需耐心按灯号行驶，我们会继续跟进绿路运行动态。</w:t>
            </w:r>
          </w:p>
        </w:tc>
      </w:tr>
      <w:tr w14:paraId="4CD6EE84">
        <w:tblPrEx>
          <w:tblCellMar>
            <w:top w:w="0" w:type="dxa"/>
            <w:left w:w="108" w:type="dxa"/>
            <w:bottom w:w="0" w:type="dxa"/>
            <w:right w:w="108" w:type="dxa"/>
          </w:tblCellMar>
        </w:tblPrEx>
        <w:trPr>
          <w:trHeight w:val="2220"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6D291580">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1FF5C0F2">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6F9FCC6C">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164737AE">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绿路计划/绿路调整</w:t>
            </w:r>
          </w:p>
        </w:tc>
        <w:tc>
          <w:tcPr>
            <w:tcW w:w="4272" w:type="dxa"/>
            <w:tcBorders>
              <w:top w:val="nil"/>
              <w:left w:val="nil"/>
              <w:bottom w:val="single" w:color="auto" w:sz="8" w:space="0"/>
              <w:right w:val="single" w:color="auto" w:sz="8" w:space="0"/>
            </w:tcBorders>
            <w:vAlign w:val="center"/>
          </w:tcPr>
          <w:p w14:paraId="6801AA9C">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要达成一路绿灯的效果需要很多条件的综合，如路口距离、周期时间、相位配合等等，目前已设置了几十条绿路可以达到上述效果，有的是全路段的，有的是分段的。但交通流是不断变化的，要维持效果需要不断进行巩固调整，目前我们也有一个专门的团队进行上述工作，我们会到现场进行调研分析，如有需要，我们将进行优化改善。</w:t>
            </w:r>
          </w:p>
        </w:tc>
      </w:tr>
      <w:tr w14:paraId="501D1FFD">
        <w:tblPrEx>
          <w:tblCellMar>
            <w:top w:w="0" w:type="dxa"/>
            <w:left w:w="108" w:type="dxa"/>
            <w:bottom w:w="0" w:type="dxa"/>
            <w:right w:w="108" w:type="dxa"/>
          </w:tblCellMar>
        </w:tblPrEx>
        <w:trPr>
          <w:trHeight w:val="1167"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21E804F6">
            <w:pPr>
              <w:widowControl/>
              <w:spacing w:line="240" w:lineRule="auto"/>
              <w:jc w:val="center"/>
              <w:rPr>
                <w:rFonts w:hint="eastAsia" w:ascii="仿宋" w:hAnsi="仿宋" w:eastAsia="仿宋" w:cs="仿宋"/>
                <w:bCs/>
                <w:sz w:val="21"/>
                <w:szCs w:val="21"/>
              </w:rPr>
            </w:pPr>
          </w:p>
        </w:tc>
        <w:tc>
          <w:tcPr>
            <w:tcW w:w="1970" w:type="dxa"/>
            <w:vMerge w:val="restart"/>
            <w:tcBorders>
              <w:top w:val="nil"/>
              <w:left w:val="nil"/>
              <w:bottom w:val="single" w:color="auto" w:sz="8" w:space="0"/>
              <w:right w:val="single" w:color="auto" w:sz="8" w:space="0"/>
            </w:tcBorders>
            <w:vAlign w:val="center"/>
          </w:tcPr>
          <w:p w14:paraId="5CB005E1">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解释类</w:t>
            </w:r>
          </w:p>
          <w:p w14:paraId="75A6D1B0">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 路口基础信息表、监控视频、实地调研；</w:t>
            </w:r>
          </w:p>
          <w:p w14:paraId="3ECE8734">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考虑方向：倒计时安装计划、路口特殊设置、灯具及灯组接线、倒计时安装标准等；</w:t>
            </w:r>
          </w:p>
        </w:tc>
        <w:tc>
          <w:tcPr>
            <w:tcW w:w="1030" w:type="dxa"/>
            <w:vMerge w:val="restart"/>
            <w:tcBorders>
              <w:top w:val="nil"/>
              <w:left w:val="single" w:color="auto" w:sz="8" w:space="0"/>
              <w:bottom w:val="single" w:color="000000" w:sz="8" w:space="0"/>
              <w:right w:val="single" w:color="auto" w:sz="8" w:space="0"/>
            </w:tcBorders>
            <w:vAlign w:val="center"/>
          </w:tcPr>
          <w:p w14:paraId="7D089ED5">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倒计时</w:t>
            </w:r>
          </w:p>
        </w:tc>
        <w:tc>
          <w:tcPr>
            <w:tcW w:w="1316" w:type="dxa"/>
            <w:tcBorders>
              <w:top w:val="nil"/>
              <w:left w:val="single" w:color="auto" w:sz="8" w:space="0"/>
              <w:bottom w:val="single" w:color="000000" w:sz="8" w:space="0"/>
              <w:right w:val="single" w:color="auto" w:sz="8" w:space="0"/>
            </w:tcBorders>
            <w:vAlign w:val="center"/>
          </w:tcPr>
          <w:p w14:paraId="5591E8FC">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已有安装计划</w:t>
            </w:r>
          </w:p>
        </w:tc>
        <w:tc>
          <w:tcPr>
            <w:tcW w:w="4272" w:type="dxa"/>
            <w:tcBorders>
              <w:top w:val="nil"/>
              <w:left w:val="single" w:color="auto" w:sz="8" w:space="0"/>
              <w:bottom w:val="single" w:color="000000" w:sz="8" w:space="0"/>
              <w:right w:val="single" w:color="auto" w:sz="8" w:space="0"/>
            </w:tcBorders>
            <w:vAlign w:val="center"/>
          </w:tcPr>
          <w:p w14:paraId="5DB1E4C2">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对于该路口X进口的信号灯我们已有倒计时安装计划，倒计时的安装我们将逐步安排实施。</w:t>
            </w:r>
          </w:p>
        </w:tc>
      </w:tr>
      <w:tr w14:paraId="471A8CC4">
        <w:tblPrEx>
          <w:tblCellMar>
            <w:top w:w="0" w:type="dxa"/>
            <w:left w:w="108" w:type="dxa"/>
            <w:bottom w:w="0" w:type="dxa"/>
            <w:right w:w="108" w:type="dxa"/>
          </w:tblCellMar>
        </w:tblPrEx>
        <w:trPr>
          <w:trHeight w:val="127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03188DAE">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auto" w:sz="8" w:space="0"/>
              <w:right w:val="single" w:color="auto" w:sz="8" w:space="0"/>
            </w:tcBorders>
            <w:vAlign w:val="center"/>
          </w:tcPr>
          <w:p w14:paraId="4BFD6055">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0EEB7538">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606B1E0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无法安装</w:t>
            </w:r>
          </w:p>
        </w:tc>
        <w:tc>
          <w:tcPr>
            <w:tcW w:w="4272" w:type="dxa"/>
            <w:tcBorders>
              <w:top w:val="nil"/>
              <w:left w:val="nil"/>
              <w:bottom w:val="single" w:color="auto" w:sz="8" w:space="0"/>
              <w:right w:val="single" w:color="auto" w:sz="8" w:space="0"/>
            </w:tcBorders>
            <w:vAlign w:val="center"/>
          </w:tcPr>
          <w:p w14:paraId="725FA3EB">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一般情况下，没安装倒计时的路口红绿灯从绿灯转为红灯过程中，绿灯闪烁两下后变为黄灯，请按灯号行驶。</w:t>
            </w:r>
          </w:p>
        </w:tc>
      </w:tr>
      <w:tr w14:paraId="21EBBB3E">
        <w:tblPrEx>
          <w:tblCellMar>
            <w:top w:w="0" w:type="dxa"/>
            <w:left w:w="108" w:type="dxa"/>
            <w:bottom w:w="0" w:type="dxa"/>
            <w:right w:w="108" w:type="dxa"/>
          </w:tblCellMar>
        </w:tblPrEx>
        <w:trPr>
          <w:trHeight w:val="452"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4B7DB00A">
            <w:pPr>
              <w:widowControl/>
              <w:spacing w:line="240" w:lineRule="auto"/>
              <w:jc w:val="center"/>
              <w:rPr>
                <w:rFonts w:hint="eastAsia" w:ascii="仿宋" w:hAnsi="仿宋" w:eastAsia="仿宋" w:cs="仿宋"/>
                <w:bCs/>
                <w:sz w:val="21"/>
                <w:szCs w:val="21"/>
              </w:rPr>
            </w:pPr>
          </w:p>
        </w:tc>
        <w:tc>
          <w:tcPr>
            <w:tcW w:w="1970" w:type="dxa"/>
            <w:vMerge w:val="restart"/>
            <w:tcBorders>
              <w:top w:val="nil"/>
              <w:left w:val="nil"/>
              <w:bottom w:val="single" w:color="000000" w:sz="8" w:space="0"/>
              <w:right w:val="single" w:color="auto" w:sz="8" w:space="0"/>
            </w:tcBorders>
            <w:vAlign w:val="center"/>
          </w:tcPr>
          <w:p w14:paraId="18DA9D6E">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解释类</w:t>
            </w:r>
          </w:p>
          <w:p w14:paraId="74CC6052">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 监控视频、实地调研；</w:t>
            </w:r>
          </w:p>
          <w:p w14:paraId="2ACAA956">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考虑方向：车流量及行人需求等因素；</w:t>
            </w:r>
          </w:p>
        </w:tc>
        <w:tc>
          <w:tcPr>
            <w:tcW w:w="1030" w:type="dxa"/>
            <w:vMerge w:val="restart"/>
            <w:tcBorders>
              <w:top w:val="nil"/>
              <w:left w:val="single" w:color="auto" w:sz="8" w:space="0"/>
              <w:bottom w:val="single" w:color="000000" w:sz="8" w:space="0"/>
              <w:right w:val="single" w:color="auto" w:sz="8" w:space="0"/>
            </w:tcBorders>
            <w:vAlign w:val="center"/>
          </w:tcPr>
          <w:p w14:paraId="217031B7">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取消信号灯</w:t>
            </w:r>
          </w:p>
        </w:tc>
        <w:tc>
          <w:tcPr>
            <w:tcW w:w="1316" w:type="dxa"/>
            <w:tcBorders>
              <w:top w:val="nil"/>
              <w:left w:val="nil"/>
              <w:bottom w:val="single" w:color="auto" w:sz="8" w:space="0"/>
              <w:right w:val="single" w:color="auto" w:sz="8" w:space="0"/>
            </w:tcBorders>
            <w:vAlign w:val="center"/>
          </w:tcPr>
          <w:p w14:paraId="70D8F8C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建议取消</w:t>
            </w:r>
          </w:p>
        </w:tc>
        <w:tc>
          <w:tcPr>
            <w:tcW w:w="4272" w:type="dxa"/>
            <w:tcBorders>
              <w:top w:val="nil"/>
              <w:left w:val="nil"/>
              <w:bottom w:val="single" w:color="auto" w:sz="8" w:space="0"/>
              <w:right w:val="single" w:color="auto" w:sz="8" w:space="0"/>
            </w:tcBorders>
            <w:vAlign w:val="center"/>
          </w:tcPr>
          <w:p w14:paraId="1BA362D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经实地调研，由于XXX原因，该路口信号灯已取消。</w:t>
            </w:r>
          </w:p>
        </w:tc>
      </w:tr>
      <w:tr w14:paraId="18590F86">
        <w:tblPrEx>
          <w:tblCellMar>
            <w:top w:w="0" w:type="dxa"/>
            <w:left w:w="108" w:type="dxa"/>
            <w:bottom w:w="0" w:type="dxa"/>
            <w:right w:w="108" w:type="dxa"/>
          </w:tblCellMar>
        </w:tblPrEx>
        <w:trPr>
          <w:trHeight w:val="404"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79B4D40F">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000000" w:sz="8" w:space="0"/>
              <w:right w:val="single" w:color="auto" w:sz="8" w:space="0"/>
            </w:tcBorders>
            <w:vAlign w:val="center"/>
          </w:tcPr>
          <w:p w14:paraId="1EF09BA4">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36CD8E5A">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7C82CE7A">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不建议取消</w:t>
            </w:r>
          </w:p>
        </w:tc>
        <w:tc>
          <w:tcPr>
            <w:tcW w:w="4272" w:type="dxa"/>
            <w:tcBorders>
              <w:top w:val="nil"/>
              <w:left w:val="nil"/>
              <w:bottom w:val="single" w:color="auto" w:sz="8" w:space="0"/>
              <w:right w:val="single" w:color="auto" w:sz="8" w:space="0"/>
            </w:tcBorders>
            <w:vAlign w:val="center"/>
          </w:tcPr>
          <w:p w14:paraId="022DCA58">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经实地调研，由于XXX原因，该路口信号灯不予取消。</w:t>
            </w:r>
          </w:p>
        </w:tc>
      </w:tr>
      <w:tr w14:paraId="44DB4FC3">
        <w:tblPrEx>
          <w:tblCellMar>
            <w:top w:w="0" w:type="dxa"/>
            <w:left w:w="108" w:type="dxa"/>
            <w:bottom w:w="0" w:type="dxa"/>
            <w:right w:w="108" w:type="dxa"/>
          </w:tblCellMar>
        </w:tblPrEx>
        <w:trPr>
          <w:trHeight w:val="64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536AC7D0">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000000" w:sz="8" w:space="0"/>
              <w:right w:val="single" w:color="auto" w:sz="8" w:space="0"/>
            </w:tcBorders>
            <w:vAlign w:val="center"/>
          </w:tcPr>
          <w:p w14:paraId="4A19E7CA">
            <w:pPr>
              <w:widowControl/>
              <w:spacing w:line="240" w:lineRule="auto"/>
              <w:jc w:val="center"/>
              <w:rPr>
                <w:rFonts w:hint="eastAsia" w:ascii="仿宋" w:hAnsi="仿宋" w:eastAsia="仿宋" w:cs="仿宋"/>
                <w:bCs/>
                <w:sz w:val="21"/>
                <w:szCs w:val="21"/>
              </w:rPr>
            </w:pPr>
          </w:p>
        </w:tc>
        <w:tc>
          <w:tcPr>
            <w:tcW w:w="1030" w:type="dxa"/>
            <w:vMerge w:val="restart"/>
            <w:tcBorders>
              <w:top w:val="nil"/>
              <w:left w:val="single" w:color="auto" w:sz="8" w:space="0"/>
              <w:bottom w:val="single" w:color="000000" w:sz="8" w:space="0"/>
              <w:right w:val="single" w:color="auto" w:sz="8" w:space="0"/>
            </w:tcBorders>
            <w:vAlign w:val="center"/>
          </w:tcPr>
          <w:p w14:paraId="651E657C">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设置黄闪</w:t>
            </w:r>
          </w:p>
        </w:tc>
        <w:tc>
          <w:tcPr>
            <w:tcW w:w="1316" w:type="dxa"/>
            <w:tcBorders>
              <w:top w:val="nil"/>
              <w:left w:val="nil"/>
              <w:bottom w:val="single" w:color="auto" w:sz="8" w:space="0"/>
              <w:right w:val="single" w:color="auto" w:sz="8" w:space="0"/>
            </w:tcBorders>
            <w:vAlign w:val="center"/>
          </w:tcPr>
          <w:p w14:paraId="773790AE">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建议设置</w:t>
            </w:r>
          </w:p>
        </w:tc>
        <w:tc>
          <w:tcPr>
            <w:tcW w:w="4272" w:type="dxa"/>
            <w:tcBorders>
              <w:top w:val="nil"/>
              <w:left w:val="nil"/>
              <w:bottom w:val="single" w:color="auto" w:sz="8" w:space="0"/>
              <w:right w:val="single" w:color="auto" w:sz="8" w:space="0"/>
            </w:tcBorders>
            <w:vAlign w:val="center"/>
          </w:tcPr>
          <w:p w14:paraId="4FBC7F4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经实地调研，由于XXX原因，我们已在XX时段设置该路口黄闪状态。</w:t>
            </w:r>
          </w:p>
        </w:tc>
      </w:tr>
      <w:tr w14:paraId="22CAF0D7">
        <w:tblPrEx>
          <w:tblCellMar>
            <w:top w:w="0" w:type="dxa"/>
            <w:left w:w="108" w:type="dxa"/>
            <w:bottom w:w="0" w:type="dxa"/>
            <w:right w:w="108" w:type="dxa"/>
          </w:tblCellMar>
        </w:tblPrEx>
        <w:trPr>
          <w:trHeight w:val="64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0D2B76E2">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000000" w:sz="8" w:space="0"/>
              <w:right w:val="single" w:color="auto" w:sz="8" w:space="0"/>
            </w:tcBorders>
            <w:vAlign w:val="center"/>
          </w:tcPr>
          <w:p w14:paraId="3CBF2B2C">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2D19B522">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7D0AC66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不建议设置</w:t>
            </w:r>
          </w:p>
        </w:tc>
        <w:tc>
          <w:tcPr>
            <w:tcW w:w="4272" w:type="dxa"/>
            <w:tcBorders>
              <w:top w:val="nil"/>
              <w:left w:val="nil"/>
              <w:bottom w:val="single" w:color="auto" w:sz="8" w:space="0"/>
              <w:right w:val="single" w:color="auto" w:sz="8" w:space="0"/>
            </w:tcBorders>
            <w:vAlign w:val="center"/>
          </w:tcPr>
          <w:p w14:paraId="6E13B8E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经实地调研，由于XXX原因，该路口在XX时段不需设置该路口黄闪状态。</w:t>
            </w:r>
          </w:p>
        </w:tc>
      </w:tr>
      <w:tr w14:paraId="2E3B9C14">
        <w:tblPrEx>
          <w:tblCellMar>
            <w:top w:w="0" w:type="dxa"/>
            <w:left w:w="108" w:type="dxa"/>
            <w:bottom w:w="0" w:type="dxa"/>
            <w:right w:w="108" w:type="dxa"/>
          </w:tblCellMar>
        </w:tblPrEx>
        <w:trPr>
          <w:trHeight w:val="1096"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2343D17B">
            <w:pPr>
              <w:widowControl/>
              <w:spacing w:line="240" w:lineRule="auto"/>
              <w:jc w:val="center"/>
              <w:rPr>
                <w:rFonts w:hint="eastAsia" w:ascii="仿宋" w:hAnsi="仿宋" w:eastAsia="仿宋" w:cs="仿宋"/>
                <w:bCs/>
                <w:sz w:val="21"/>
                <w:szCs w:val="21"/>
              </w:rPr>
            </w:pPr>
          </w:p>
        </w:tc>
        <w:tc>
          <w:tcPr>
            <w:tcW w:w="1970" w:type="dxa"/>
            <w:vMerge w:val="restart"/>
            <w:tcBorders>
              <w:top w:val="nil"/>
              <w:left w:val="nil"/>
              <w:bottom w:val="single" w:color="000000" w:sz="8" w:space="0"/>
              <w:right w:val="single" w:color="auto" w:sz="8" w:space="0"/>
            </w:tcBorders>
            <w:vAlign w:val="center"/>
          </w:tcPr>
          <w:p w14:paraId="5B00DAEC">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解释类</w:t>
            </w:r>
          </w:p>
          <w:p w14:paraId="0243259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检查手段： 监控视频、实地调研；</w:t>
            </w:r>
          </w:p>
          <w:p w14:paraId="6DCA1E50">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  考虑方向：遮挡及驾驶员视角方面考虑；</w:t>
            </w:r>
          </w:p>
        </w:tc>
        <w:tc>
          <w:tcPr>
            <w:tcW w:w="1030" w:type="dxa"/>
            <w:vMerge w:val="restart"/>
            <w:tcBorders>
              <w:top w:val="nil"/>
              <w:left w:val="single" w:color="auto" w:sz="8" w:space="0"/>
              <w:bottom w:val="single" w:color="000000" w:sz="8" w:space="0"/>
              <w:right w:val="single" w:color="auto" w:sz="8" w:space="0"/>
            </w:tcBorders>
            <w:vAlign w:val="center"/>
          </w:tcPr>
          <w:p w14:paraId="145C05D3">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设置辅灯</w:t>
            </w:r>
          </w:p>
        </w:tc>
        <w:tc>
          <w:tcPr>
            <w:tcW w:w="1316" w:type="dxa"/>
            <w:tcBorders>
              <w:top w:val="nil"/>
              <w:left w:val="single" w:color="auto" w:sz="8" w:space="0"/>
              <w:bottom w:val="single" w:color="000000" w:sz="8" w:space="0"/>
              <w:right w:val="single" w:color="auto" w:sz="8" w:space="0"/>
            </w:tcBorders>
            <w:vAlign w:val="center"/>
          </w:tcPr>
          <w:p w14:paraId="7DB33696">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建议设置</w:t>
            </w:r>
          </w:p>
        </w:tc>
        <w:tc>
          <w:tcPr>
            <w:tcW w:w="4272" w:type="dxa"/>
            <w:tcBorders>
              <w:top w:val="nil"/>
              <w:left w:val="single" w:color="auto" w:sz="8" w:space="0"/>
              <w:bottom w:val="single" w:color="000000" w:sz="8" w:space="0"/>
              <w:right w:val="single" w:color="auto" w:sz="8" w:space="0"/>
            </w:tcBorders>
            <w:vAlign w:val="center"/>
          </w:tcPr>
          <w:p w14:paraId="32ADFC1D">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经实地调研，由于XXX原因，我们已在XX进口XX位置应该设置辅灯。</w:t>
            </w:r>
          </w:p>
        </w:tc>
      </w:tr>
      <w:tr w14:paraId="19AEA77E">
        <w:tblPrEx>
          <w:tblCellMar>
            <w:top w:w="0" w:type="dxa"/>
            <w:left w:w="108" w:type="dxa"/>
            <w:bottom w:w="0" w:type="dxa"/>
            <w:right w:w="108" w:type="dxa"/>
          </w:tblCellMar>
        </w:tblPrEx>
        <w:trPr>
          <w:trHeight w:val="965" w:hRule="atLeast"/>
          <w:jc w:val="center"/>
        </w:trPr>
        <w:tc>
          <w:tcPr>
            <w:tcW w:w="1402" w:type="dxa"/>
            <w:vMerge w:val="continue"/>
            <w:tcBorders>
              <w:top w:val="nil"/>
              <w:left w:val="single" w:color="auto" w:sz="8" w:space="0"/>
              <w:bottom w:val="single" w:color="000000" w:sz="8" w:space="0"/>
              <w:right w:val="single" w:color="auto" w:sz="8" w:space="0"/>
            </w:tcBorders>
            <w:vAlign w:val="center"/>
          </w:tcPr>
          <w:p w14:paraId="700FAE6D">
            <w:pPr>
              <w:widowControl/>
              <w:spacing w:line="240" w:lineRule="auto"/>
              <w:jc w:val="center"/>
              <w:rPr>
                <w:rFonts w:hint="eastAsia" w:ascii="仿宋" w:hAnsi="仿宋" w:eastAsia="仿宋" w:cs="仿宋"/>
                <w:bCs/>
                <w:sz w:val="21"/>
                <w:szCs w:val="21"/>
              </w:rPr>
            </w:pPr>
          </w:p>
        </w:tc>
        <w:tc>
          <w:tcPr>
            <w:tcW w:w="1970" w:type="dxa"/>
            <w:vMerge w:val="continue"/>
            <w:tcBorders>
              <w:top w:val="nil"/>
              <w:left w:val="nil"/>
              <w:bottom w:val="single" w:color="000000" w:sz="8" w:space="0"/>
              <w:right w:val="single" w:color="auto" w:sz="8" w:space="0"/>
            </w:tcBorders>
            <w:vAlign w:val="center"/>
          </w:tcPr>
          <w:p w14:paraId="05FDE7D3">
            <w:pPr>
              <w:widowControl/>
              <w:spacing w:line="240" w:lineRule="auto"/>
              <w:jc w:val="center"/>
              <w:rPr>
                <w:rFonts w:hint="eastAsia" w:ascii="仿宋" w:hAnsi="仿宋" w:eastAsia="仿宋" w:cs="仿宋"/>
                <w:bCs/>
                <w:sz w:val="21"/>
                <w:szCs w:val="21"/>
              </w:rPr>
            </w:pPr>
          </w:p>
        </w:tc>
        <w:tc>
          <w:tcPr>
            <w:tcW w:w="1030" w:type="dxa"/>
            <w:vMerge w:val="continue"/>
            <w:tcBorders>
              <w:top w:val="nil"/>
              <w:left w:val="single" w:color="auto" w:sz="8" w:space="0"/>
              <w:bottom w:val="single" w:color="000000" w:sz="8" w:space="0"/>
              <w:right w:val="single" w:color="auto" w:sz="8" w:space="0"/>
            </w:tcBorders>
            <w:vAlign w:val="center"/>
          </w:tcPr>
          <w:p w14:paraId="71E413AC">
            <w:pPr>
              <w:widowControl/>
              <w:spacing w:line="240" w:lineRule="auto"/>
              <w:jc w:val="center"/>
              <w:rPr>
                <w:rFonts w:hint="eastAsia" w:ascii="仿宋" w:hAnsi="仿宋" w:eastAsia="仿宋" w:cs="仿宋"/>
                <w:bCs/>
                <w:sz w:val="21"/>
                <w:szCs w:val="21"/>
              </w:rPr>
            </w:pPr>
          </w:p>
        </w:tc>
        <w:tc>
          <w:tcPr>
            <w:tcW w:w="1316" w:type="dxa"/>
            <w:tcBorders>
              <w:top w:val="nil"/>
              <w:left w:val="nil"/>
              <w:bottom w:val="single" w:color="auto" w:sz="8" w:space="0"/>
              <w:right w:val="single" w:color="auto" w:sz="8" w:space="0"/>
            </w:tcBorders>
            <w:vAlign w:val="center"/>
          </w:tcPr>
          <w:p w14:paraId="581BC28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不建议设置</w:t>
            </w:r>
          </w:p>
        </w:tc>
        <w:tc>
          <w:tcPr>
            <w:tcW w:w="4272" w:type="dxa"/>
            <w:tcBorders>
              <w:top w:val="nil"/>
              <w:left w:val="nil"/>
              <w:bottom w:val="single" w:color="auto" w:sz="8" w:space="0"/>
              <w:right w:val="single" w:color="auto" w:sz="8" w:space="0"/>
            </w:tcBorders>
            <w:vAlign w:val="center"/>
          </w:tcPr>
          <w:p w14:paraId="5BB520CF">
            <w:pPr>
              <w:widowControl/>
              <w:spacing w:line="240" w:lineRule="auto"/>
              <w:jc w:val="center"/>
              <w:rPr>
                <w:rFonts w:hint="eastAsia" w:ascii="仿宋" w:hAnsi="仿宋" w:eastAsia="仿宋" w:cs="仿宋"/>
                <w:bCs/>
                <w:sz w:val="21"/>
                <w:szCs w:val="21"/>
              </w:rPr>
            </w:pPr>
            <w:r>
              <w:rPr>
                <w:rFonts w:hint="eastAsia" w:ascii="仿宋" w:hAnsi="仿宋" w:eastAsia="仿宋" w:cs="仿宋"/>
                <w:bCs/>
                <w:sz w:val="21"/>
                <w:szCs w:val="21"/>
              </w:rPr>
              <w:t>经实地调研，由于XXX原因，XX进口XX位置不需要设置辅灯。</w:t>
            </w:r>
          </w:p>
        </w:tc>
      </w:tr>
    </w:tbl>
    <w:p w14:paraId="2FFA024B">
      <w:pPr>
        <w:spacing w:line="360" w:lineRule="auto"/>
        <w:ind w:firstLine="420" w:firstLineChars="200"/>
        <w:rPr>
          <w:rFonts w:hint="eastAsia" w:ascii="仿宋" w:hAnsi="仿宋" w:eastAsia="仿宋" w:cs="仿宋"/>
          <w:sz w:val="21"/>
          <w:szCs w:val="21"/>
        </w:rPr>
      </w:pPr>
      <w:bookmarkStart w:id="70" w:name="_Toc46423133"/>
      <w:r>
        <w:rPr>
          <w:rFonts w:hint="eastAsia" w:ascii="仿宋" w:hAnsi="仿宋" w:eastAsia="仿宋" w:cs="仿宋"/>
          <w:sz w:val="21"/>
          <w:szCs w:val="21"/>
        </w:rPr>
        <w:t>5.4.3全方位问题解决</w:t>
      </w:r>
      <w:bookmarkEnd w:id="70"/>
    </w:p>
    <w:p w14:paraId="500827C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5.4.3.1单点路口信号控制方案设计</w:t>
      </w:r>
    </w:p>
    <w:p w14:paraId="0A55FB6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对单个路口，不存在与其它路口协调控制关系，进行多时段控制方案设计。</w:t>
      </w:r>
    </w:p>
    <w:p w14:paraId="4060266E">
      <w:pPr>
        <w:spacing w:line="360" w:lineRule="auto"/>
        <w:ind w:firstLine="420" w:firstLineChars="200"/>
        <w:rPr>
          <w:rFonts w:hint="eastAsia" w:ascii="仿宋" w:hAnsi="仿宋" w:eastAsia="仿宋" w:cs="仿宋"/>
          <w:sz w:val="21"/>
          <w:szCs w:val="21"/>
        </w:rPr>
      </w:pPr>
      <w:bookmarkStart w:id="71" w:name="_Toc339319995"/>
      <w:bookmarkStart w:id="72" w:name="_Toc339900401"/>
      <w:bookmarkStart w:id="73" w:name="_Toc339444235"/>
      <w:r>
        <w:rPr>
          <w:rFonts w:hint="eastAsia" w:ascii="仿宋" w:hAnsi="仿宋" w:eastAsia="仿宋" w:cs="仿宋"/>
          <w:sz w:val="21"/>
          <w:szCs w:val="21"/>
        </w:rPr>
        <w:t>（一）问题路口的发现与确定</w:t>
      </w:r>
      <w:bookmarkEnd w:id="71"/>
      <w:bookmarkEnd w:id="72"/>
      <w:bookmarkEnd w:id="73"/>
    </w:p>
    <w:p w14:paraId="50F7C9F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问题路口的发现与确定，主要有外部反馈问题路口、新增信号控制路口、路口日常巡查三种途径。其中，由外部反馈的问题路口，一般都是交通情况相对恶劣，对人们的日常出行造成影响的路口，需重点关注。</w:t>
      </w:r>
    </w:p>
    <w:p w14:paraId="4C78374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（二）现状资料收集及分析</w:t>
      </w:r>
    </w:p>
    <w:p w14:paraId="681AA10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现状资料收集及分析包括基础资料收集、现状调研、数据分析三部分。</w:t>
      </w:r>
    </w:p>
    <w:p w14:paraId="328EB51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道路路网条件：路网形状、路网密度、道路间距、道路对偶性；道路路段条件：道路等级、道路宽度、车道数、路口之间的间距；</w:t>
      </w:r>
    </w:p>
    <w:p w14:paraId="761F034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道路路口条件：路口信号控制、路口渠化设计、路口管制。</w:t>
      </w:r>
    </w:p>
    <w:p w14:paraId="418C1CA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交通流条件：潮汐交通、交通组成、交通转向流量、环境条件、交通产生与吸引；评价指标采集：旅行时间、行车速度、排队长队、延误、停车次数。</w:t>
      </w:r>
    </w:p>
    <w:p w14:paraId="113EF0B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数据检验：对调研数据的真实性进行检验，检验方法是通过与视频数据的比对。</w:t>
      </w:r>
    </w:p>
    <w:p w14:paraId="0F0A69D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方案运行状态评价：根据单点路口运行状态指标体系，对路口现状方案的运行状态进行评价，作为后续优化方案效果评价的对比材料。</w:t>
      </w:r>
    </w:p>
    <w:p w14:paraId="45FAB2D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控制时段划分：根据路口的全天流量变化图，把全天划分成多个具有相同或相近交通流特性的控制时段。</w:t>
      </w:r>
    </w:p>
    <w:p w14:paraId="32F32ECF">
      <w:pPr>
        <w:spacing w:line="360" w:lineRule="auto"/>
        <w:ind w:firstLine="420" w:firstLineChars="200"/>
        <w:rPr>
          <w:rFonts w:hint="eastAsia" w:ascii="仿宋" w:hAnsi="仿宋" w:eastAsia="仿宋" w:cs="仿宋"/>
          <w:sz w:val="21"/>
          <w:szCs w:val="21"/>
        </w:rPr>
      </w:pPr>
      <w:bookmarkStart w:id="74" w:name="_Toc339444237"/>
      <w:bookmarkStart w:id="75" w:name="_Toc339900403"/>
      <w:bookmarkStart w:id="76" w:name="_Toc339319997"/>
      <w:r>
        <w:rPr>
          <w:rFonts w:hint="eastAsia" w:ascii="仿宋" w:hAnsi="仿宋" w:eastAsia="仿宋" w:cs="仿宋"/>
          <w:sz w:val="21"/>
          <w:szCs w:val="21"/>
        </w:rPr>
        <w:t>（三）改善方案的制定与确定</w:t>
      </w:r>
      <w:bookmarkEnd w:id="74"/>
      <w:bookmarkEnd w:id="75"/>
      <w:bookmarkEnd w:id="76"/>
    </w:p>
    <w:p w14:paraId="55BA7B8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针对路口的交通流及饱和度特点，将信号控制路口分为非饱和与饱和路口两类；针对路口的道路连接类型，可将信号控制路口分为主干道与主干道相连、主干道与次干道相连、次干道与次干道相连三类。根据路网特点，结合饱和度与道路连接类型，把单点路口划分为6种类型，并针对每种类型，提出不同的信号控制目标及策略。</w:t>
      </w:r>
    </w:p>
    <w:p w14:paraId="66A0790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5.4.3.2交通信号协调控制方案设计</w:t>
      </w:r>
    </w:p>
    <w:p w14:paraId="426A10A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针对符合设置信号协调控制条件的路段，通过调整路口运行相位相序、周期时间及相位差，以减少路段停车次数，降低行程时间，提高行车舒适性的目标。</w:t>
      </w:r>
    </w:p>
    <w:p w14:paraId="0B3B311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协调控制的直接目标有两种，一种是减少停车次数从而提高车辆行驶的流畅性，另一种是增加单位时间内通过的车辆数从而提高道路通行能力，同时避免下游路口的长排队溢出到上游交叉口内。绿路，是结合本地的交通流特点，糅合协调控制的两种目标，在避免下游路口排队回溢上游路口的基础上，减少停车次数从而提高车辆流畅性与道路通行能力的交通信号协调控制。</w:t>
      </w:r>
    </w:p>
    <w:p w14:paraId="189EFDF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5.4.3.3问题路口日常调优</w:t>
      </w:r>
    </w:p>
    <w:p w14:paraId="03B2CCD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日常巡查中发现的问题路口，以及市民、媒体等反应的问题路口，需要进行必要的补充现状调查，并根据实际情况为路口设计合理的信号控制方案，使用专业的信号控制方案实际工具辅助优化。主要工作包括调查、设计、方案优化、实施、跟踪、再优化等工序。其中，由外部反馈的问题路口，一般都是交通情况相对恶劣，对人们的日常出行造成影响的路口，应重点关注。</w:t>
      </w:r>
    </w:p>
    <w:p w14:paraId="2BBF549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5.4.3.4区域交通控制优化</w:t>
      </w:r>
    </w:p>
    <w:p w14:paraId="4AA8D87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在一个区域范围内，一个路口交通信号的调整将会影响相邻路口的交通流，甚至会出现因改善一个路口的运行情况而使其他路口的运行情况变差的现象。为了避免这种现象的发生，应从区域的总体优化目标出发，实行区域交通控制。区域交通控制根据交通量检测数据，协调区域内各路口的交通信号配时，均衡区域内的交通流，减少拥堵的发生，提高整体通行能力。</w:t>
      </w:r>
    </w:p>
    <w:p w14:paraId="4B95B2B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为了做好区域交通控制，应先对区域交通控制有深刻的理解，掌握区域交通控制的适用条件及方法，再根据实际交通流特性和信号控制子区的划分原则，对目前已有的协调控制路段进行区域交通控制可行性调查，划分出可以实施区域交通控制的区域，并针对区域特点制定对应的区域交通控制策略，实现均衡区域内的交通流，减少拥堵的发生，提高整体通行能力。</w:t>
      </w:r>
    </w:p>
    <w:p w14:paraId="658DBBB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区域交通控制即通过将绿波协调控制的路口通过组合叠加的方式，对各信号控制路口的信号周期、绿信比以及路口间的相位差进行优化，以减小延误、提高路网通行效率。</w:t>
      </w:r>
    </w:p>
    <w:p w14:paraId="13EB8E0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对服务范围内已有的协调控制路段进行区域交通控制可行性调查，根据交通量检测数据，划分出可以实施区域交通控制的区域，并针对区域特点制定对应的区域交通控制策略，实现均衡区域内的交通流，减少拥堵的发生，提高整体通行能力。区域交通控制主要包括以下内容：</w:t>
      </w:r>
    </w:p>
    <w:p w14:paraId="123EAF0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(1)区域交通控制适用条件归纳</w:t>
      </w:r>
    </w:p>
    <w:p w14:paraId="124B635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(2)信号子区划分</w:t>
      </w:r>
    </w:p>
    <w:p w14:paraId="3C0EBF1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(3)区域交通控制策略制定</w:t>
      </w:r>
    </w:p>
    <w:p w14:paraId="59B28E1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5.4.4路口信号控制方案交通仿真分析</w:t>
      </w:r>
    </w:p>
    <w:p w14:paraId="35C9A69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交通仿真可以动态地、逼真地模仿交通流和交通事故等各种交通现象，在研究出行者出行行为和各种类型道路交通流运行机理的基础上，复现交通流的时空变化态势，深入地分析车辆、驾驶员和行人、道路交通要素的特征，有效地进行交通系统的规划、组织和管理、交通能源节约与物资运输合理化等方面的研究。同时，交通仿真通过虚拟的现实技术手段，能够非常直观地表现出路网上车辆的运行情况，再现某个位置交通是否拥堵、道路是否畅通、有无交通事故等现象，为交通问题解决方案的评估提供有效手段。</w:t>
      </w:r>
    </w:p>
    <w:p w14:paraId="6862403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交通信号运行情况仿真评价，则是利用交通仿真手段，模拟再现信号控制路口在实施优化方案后的交通运行状况，配合各种评价指标，能有效地对信号控制方案进行评估优选，避免出现短板问题，保障最终实施方案的最优化。</w:t>
      </w:r>
    </w:p>
    <w:p w14:paraId="7FADBB4A">
      <w:pPr>
        <w:spacing w:line="360" w:lineRule="auto"/>
        <w:ind w:firstLine="420" w:firstLineChars="200"/>
        <w:rPr>
          <w:rFonts w:hint="eastAsia" w:ascii="仿宋" w:hAnsi="仿宋" w:eastAsia="仿宋" w:cs="仿宋"/>
          <w:sz w:val="21"/>
          <w:szCs w:val="21"/>
        </w:rPr>
      </w:pPr>
      <w:bookmarkStart w:id="77" w:name="_Toc469173482"/>
      <w:r>
        <w:rPr>
          <w:rFonts w:hint="eastAsia" w:ascii="仿宋" w:hAnsi="仿宋" w:eastAsia="仿宋" w:cs="仿宋"/>
          <w:sz w:val="21"/>
          <w:szCs w:val="21"/>
        </w:rPr>
        <w:t>*交通运行情况仿真工作流程</w:t>
      </w:r>
      <w:bookmarkEnd w:id="77"/>
    </w:p>
    <w:p w14:paraId="0445E98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工作流程的重点是开展城市道路中重点路口、协调控制路段微观仿真分析、城市交通“治堵”方案的预期效果分析的仿真分析等。</w:t>
      </w:r>
    </w:p>
    <w:p w14:paraId="6DF9F3E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1、任务受理</w:t>
      </w:r>
    </w:p>
    <w:p w14:paraId="493DE90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由业主方提出任务需求，填写《交通信号运行状态仿真评估委托书》，送达项目负责人。</w:t>
      </w:r>
    </w:p>
    <w:p w14:paraId="4E704E5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项目负责人根据项目合同评判是否受理，并将受理意见反馈各单位。</w:t>
      </w:r>
    </w:p>
    <w:p w14:paraId="7DE8C0E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若委托任务符合规范及合同要求，由项目负责人对任务需求分析。</w:t>
      </w:r>
    </w:p>
    <w:p w14:paraId="4259378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2、任务需求分析</w:t>
      </w:r>
    </w:p>
    <w:p w14:paraId="2FB8F04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任务需求分析为交通仿真项目开展建立有效的流程框架，旨在明确项目任务，确定仿真优化的工作范围，进而制定仿真工作要达到的目标。</w:t>
      </w:r>
    </w:p>
    <w:p w14:paraId="3F1EBB3A">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由项目负责人开展任务需求分析工作，可分为五部分内容：</w:t>
      </w:r>
    </w:p>
    <w:p w14:paraId="6FE7056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1）资料搜集整理</w:t>
      </w:r>
    </w:p>
    <w:p w14:paraId="67A4D88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搜集业主、市政规划部门和当地商家、居民代表的意见，整理项目背景、项目范围内的交通环境状况和项目期望成果值。</w:t>
      </w:r>
    </w:p>
    <w:p w14:paraId="0FA0187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2）确定工作任务</w:t>
      </w:r>
    </w:p>
    <w:p w14:paraId="1EE5335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基于需要解决的主要问题，与业主进行深入的研究讨论，明确工作任务，并就仿真工具选取、仿真评价指标、评价方法等达成一致意见。</w:t>
      </w:r>
    </w:p>
    <w:p w14:paraId="4BF4257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3）确定仿真范围</w:t>
      </w:r>
    </w:p>
    <w:p w14:paraId="5055CE7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结合主要交通问题，分析研究交通流的影响区域，宏观上把握全局路网的交通流分布特征，依据道路交通流走向和路线分布影响状况，确定交通仿真的研究范围，如路口、路段或片区。</w:t>
      </w:r>
    </w:p>
    <w:p w14:paraId="7B9C34C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4）任务可行性分析</w:t>
      </w:r>
    </w:p>
    <w:p w14:paraId="01FEB28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结合搜集整理的资料对项目研究必要性、技术方案可行性、经济的合理性进行全面充分的分析。</w:t>
      </w:r>
    </w:p>
    <w:p w14:paraId="3F9D3D1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5）数据需求分析</w:t>
      </w:r>
    </w:p>
    <w:p w14:paraId="16751E6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根据交通仿真的研究范围，分析仿真数据需求，包括数据获取方式、道路几何渠化、机动车交通流、自行车交通流、行人交通流、信号配时等。</w:t>
      </w:r>
    </w:p>
    <w:p w14:paraId="60CE124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任务需求分析完成后，制定《交通信号运行情况仿真任务需求说明书》，进入下一步工作。</w:t>
      </w:r>
    </w:p>
    <w:p w14:paraId="6E7A162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 xml:space="preserve">3、制定工作方案  </w:t>
      </w:r>
    </w:p>
    <w:p w14:paraId="1EEF9FE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根据仿真任务需求，制定本次仿真工作方案，主要包括：仿真范围及要求、方案输入方案、仿真评价指标选取、数据分析方法确定、仿真工作成果输出，并考虑任务的人力、设备、时间、成本等因素，制定方案实施计划。</w:t>
      </w:r>
    </w:p>
    <w:p w14:paraId="1B44894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4、交通调查流程</w:t>
      </w:r>
    </w:p>
    <w:p w14:paraId="3E022FB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任务下达后，项目负责人组织工作小组，确定仿真交通调查方案。</w:t>
      </w:r>
    </w:p>
    <w:p w14:paraId="794A844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调查方案确定后，工作小组人员开展调查，包括：基础路网、交通流量、公共交通数据、交通设施等数据。</w:t>
      </w:r>
    </w:p>
    <w:p w14:paraId="10E3502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调查完成后，由项目负责人对调查数据进行审核。</w:t>
      </w:r>
    </w:p>
    <w:p w14:paraId="2BD62FE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5、仿真分析流程</w:t>
      </w:r>
    </w:p>
    <w:p w14:paraId="03871F8F">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调查工作完成后，项目利用交通仿真软件进行交通仿真分析工作。仿真分析工作流程为交通问题分析、数据收集与处理、仿真模型的建立、仿真模型校验、仿真运行及仿真结果分析这六个阶段。</w:t>
      </w:r>
    </w:p>
    <w:p w14:paraId="03986FB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1）交通问题分析</w:t>
      </w:r>
    </w:p>
    <w:p w14:paraId="38761DE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交通问题分析是对交通系统进行整体分析、描述和刻画，明确研究目的，确定交通问题研究与空间界限，在对交通现状要素建立仿真模型时，确定起关键作用的要素，交通流在整个仿真过程中的变化状况，交通流到达和离开系统的分布规律，交通条件是否随时间发生变化等。所有这些都是在仿真研究开始之前要明确描述的问题，只有全面、科学、细致地研究交通网络中存在的问题及近期可能发生的交通问题，并针对主要问题进行分析，找出问题产生的症结，才能正确地进行交通的微观仿真。</w:t>
      </w:r>
    </w:p>
    <w:p w14:paraId="72EDB6F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2）数据的收集和处理</w:t>
      </w:r>
    </w:p>
    <w:p w14:paraId="2433941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微观交通仿真建模所需基础数据一般包括道路几何数据（车道数、车道宽度、隔离带宽度、非机动车道宽度、车道划分以及道路交叉口的形式）、交通流特性数据（交通流量大小、交通组成、转向车流量比、车辆到达分布、车速分布、车辆的排队与消散）、交通管制数据（各交叉口信号配时、交通管理情况）等，具体视研究对象而定。数据处理方式通常包括计算均值和方差、确定数据的分布形式和相互关系、进行回归分析和单位转换等。</w:t>
      </w:r>
    </w:p>
    <w:p w14:paraId="74A24CA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3）仿真模型的建立</w:t>
      </w:r>
    </w:p>
    <w:p w14:paraId="779D475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微观交通仿真是通过静态路网描述模型、交通生成模型、动态驾驭行为模型等，模拟车辆在不同道路和交通条件下的运行状况，并以动态形式显示出来。一般来说，首先是路网的建立，然后是交通流特性的输入及交通规则、信号控制方案的设置，最后是仿真模型的校准、验证及测试。</w:t>
      </w:r>
    </w:p>
    <w:p w14:paraId="77448DC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4）仿真模型校验</w:t>
      </w:r>
    </w:p>
    <w:p w14:paraId="238DB1F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仿真模型校验时，根据不同的区域、不同的交通现状、不同的评价目标选择不同的仿真参数，以获取最佳仿真结果。在仿真校验过程中，可以设置若干测试断面和测试路径，记录测试所得的流量、断面车速、路段行程时间、损失时间、停车次数等指标，然后与实测结果相比较，不断调整仿真模拟参数，以保证微观模型的准确性。</w:t>
      </w:r>
    </w:p>
    <w:p w14:paraId="2837EC5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5）仿真运行</w:t>
      </w:r>
    </w:p>
    <w:p w14:paraId="7A9EA6F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仿真程序的运行依赖于随机数，采用不同随机种子的运行可以看作是对系统总体的不同观测。为确保仿真输出结果可靠，需采用不同的随机种子进行多次仿真，道路交通仿真一般待系统运行稳定以后开始记录仿真结果，同一项目一般要运行三次以上，取各次运行结果的平均值为最终结果。</w:t>
      </w:r>
    </w:p>
    <w:p w14:paraId="3CCD710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6）仿真结果分析</w:t>
      </w:r>
    </w:p>
    <w:p w14:paraId="3EC655DA">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仿真结果主要是仿真后的数据统计，包括瞬时分布统计，如：点速度、车头时距、排队分布、停车次数等，以及区段分布统计，如：行车延误、行程时间、平均行驶车速、超车率等。提取不同方案的仿真结果，分析比较各个可能措施的交通影响和投资，排除一些不可行、效益不明显的或因投资太大和周期太长不宜实现的方案，最后形成若干可行的、效益显著的、效益投资比令人满意的方案。方案的选比阶段必须同所涉及的单位进行方案说明、讨论及修改，然后根据各方案要求再进行系统模拟，提交仿真结果，直至最优方案的确定。</w:t>
      </w:r>
    </w:p>
    <w:p w14:paraId="68CEA937">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6、仿真成果输出</w:t>
      </w:r>
    </w:p>
    <w:p w14:paraId="46B48D3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仿真成果输出是将仿真结果汇总成报告文档。</w:t>
      </w:r>
    </w:p>
    <w:p w14:paraId="794E0D5E">
      <w:pPr>
        <w:spacing w:line="360" w:lineRule="auto"/>
        <w:ind w:firstLine="420" w:firstLineChars="200"/>
        <w:rPr>
          <w:rFonts w:hint="eastAsia" w:ascii="仿宋" w:hAnsi="仿宋" w:eastAsia="仿宋" w:cs="仿宋"/>
          <w:sz w:val="21"/>
          <w:szCs w:val="21"/>
        </w:rPr>
      </w:pPr>
      <w:bookmarkStart w:id="78" w:name="_Toc528585445"/>
      <w:bookmarkStart w:id="79" w:name="_Toc516566907"/>
      <w:r>
        <w:rPr>
          <w:rFonts w:hint="eastAsia" w:ascii="仿宋" w:hAnsi="仿宋" w:eastAsia="仿宋" w:cs="仿宋"/>
          <w:sz w:val="21"/>
          <w:szCs w:val="21"/>
        </w:rPr>
        <w:t>5.4.5知识积累和应用</w:t>
      </w:r>
    </w:p>
    <w:p w14:paraId="4AD73FA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5.4.5.1技术培训</w:t>
      </w:r>
    </w:p>
    <w:p w14:paraId="4826C57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应用在线软件培训工具开展，培训内容包括但不限于：单点信号控制、信号相位设计、绿波带控制优化、交通仿真学习、案例分析等基础性课程。</w:t>
      </w:r>
    </w:p>
    <w:p w14:paraId="604F91C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根据交警工作的实际需求，为进一步提升交警业务水平，更加科学合理地处理日常基本交通问题，切实保障城市道路安全顺畅通行，故将对民警进行全面、细致的培训工作。</w:t>
      </w:r>
    </w:p>
    <w:p w14:paraId="6E10456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对所有参训民警进行培训，目的是使受训人员充分具备系统安装、配置、使用和故障处理的能力，了解与项目相关的系统软件和操作环境，以及对系统设计及其相关业务的认识，以便更好的开展工作。经过培训，保证贵方人员能够独立进行使用、管理、维护和日常处理，保证系统正常、安全的运行。</w:t>
      </w:r>
    </w:p>
    <w:p w14:paraId="722F4C0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*培训方式</w:t>
      </w:r>
    </w:p>
    <w:p w14:paraId="22D1D66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维护培训和使用操作培训几部分。</w:t>
      </w:r>
    </w:p>
    <w:p w14:paraId="5055BA6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*培训对象</w:t>
      </w:r>
    </w:p>
    <w:p w14:paraId="77E018B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所有参与培训学习的民警、辅警。</w:t>
      </w:r>
    </w:p>
    <w:p w14:paraId="5B51FFE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*培训地点与环境</w:t>
      </w:r>
    </w:p>
    <w:p w14:paraId="7457873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培训地点和设备由交警大队负责提供，由服务单位负责提供培训讲师、培训教材、培训内容。</w:t>
      </w:r>
    </w:p>
    <w:p w14:paraId="2D206C71">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*培训平台</w:t>
      </w:r>
    </w:p>
    <w:p w14:paraId="5D54A91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交通信号控制主要针对交通信号优化类业务相关岗位人员，通过交通信号控制教学软件进行课程学习，课程包括信号优化基础知识、业务介绍、工作与技术流程、案例学习、技巧总结与技术研究等五大类内容。</w:t>
      </w:r>
    </w:p>
    <w:p w14:paraId="17C698D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基础知识讲授重点：信号优化基础知识、信号机相关知识及操作、特殊信号控制、信号优化相关工具</w:t>
      </w:r>
    </w:p>
    <w:p w14:paraId="195132C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业务介绍讲授重点：交通信号管理基础工作、路口日常巡查及方案优化、交通信号协调控制方案优化、交通仿真评价与分析、关键技术研究</w:t>
      </w:r>
    </w:p>
    <w:p w14:paraId="24E0C6C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工作与技术流程讲授重点：信号优化项目整体工作规范及流程</w:t>
      </w:r>
    </w:p>
    <w:p w14:paraId="217D548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案例学习讲授重点：信号优化项目案例总结与分享</w:t>
      </w:r>
    </w:p>
    <w:p w14:paraId="51C69FE8">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技巧总结与技术研究讲授重点：经验总结与技巧分享、前沿技术方向介绍及学习、信号优化工具及软件研发等。</w:t>
      </w:r>
    </w:p>
    <w:bookmarkEnd w:id="78"/>
    <w:bookmarkEnd w:id="79"/>
    <w:p w14:paraId="50EED64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5.4.5.2交通信号特殊控制专题分析</w:t>
      </w:r>
    </w:p>
    <w:p w14:paraId="159FE78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研究制定、实施交通信号控制关键技术及控制策略、预案；对指定范围、目标进行专题的研究、评估，撰写专题报告。如非机动车管理、左转弯待转区、潮汐车流控制优化等。</w:t>
      </w:r>
    </w:p>
    <w:p w14:paraId="66EFABA6">
      <w:pPr>
        <w:spacing w:line="360" w:lineRule="auto"/>
        <w:ind w:firstLine="420" w:firstLineChars="200"/>
        <w:rPr>
          <w:rFonts w:hint="eastAsia" w:ascii="仿宋" w:hAnsi="仿宋" w:eastAsia="仿宋" w:cs="仿宋"/>
          <w:sz w:val="21"/>
          <w:szCs w:val="21"/>
        </w:rPr>
      </w:pPr>
      <w:bookmarkStart w:id="80" w:name="_Toc46423137"/>
      <w:r>
        <w:rPr>
          <w:rFonts w:hint="eastAsia" w:ascii="仿宋" w:hAnsi="仿宋" w:eastAsia="仿宋" w:cs="仿宋"/>
          <w:sz w:val="21"/>
          <w:szCs w:val="21"/>
        </w:rPr>
        <w:t>配时中心软硬件配套</w:t>
      </w:r>
      <w:bookmarkEnd w:id="80"/>
    </w:p>
    <w:p w14:paraId="3AA28F29">
      <w:pPr>
        <w:spacing w:line="360" w:lineRule="auto"/>
        <w:ind w:firstLine="420" w:firstLineChars="200"/>
        <w:rPr>
          <w:rFonts w:hint="eastAsia" w:ascii="仿宋" w:hAnsi="仿宋" w:eastAsia="仿宋" w:cs="仿宋"/>
          <w:sz w:val="21"/>
          <w:szCs w:val="21"/>
          <w:lang w:eastAsia="zh-CN"/>
        </w:rPr>
      </w:pPr>
      <w:bookmarkStart w:id="81" w:name="_Toc65185960"/>
      <w:bookmarkStart w:id="82" w:name="_Toc46423138"/>
      <w:r>
        <w:rPr>
          <w:rFonts w:hint="eastAsia" w:ascii="仿宋" w:hAnsi="仿宋" w:eastAsia="仿宋" w:cs="仿宋"/>
          <w:sz w:val="21"/>
          <w:szCs w:val="21"/>
          <w:lang w:eastAsia="zh-CN"/>
        </w:rPr>
        <w:t>5.5服务团队</w:t>
      </w:r>
      <w:bookmarkEnd w:id="81"/>
      <w:bookmarkEnd w:id="82"/>
    </w:p>
    <w:p w14:paraId="46E9A9D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*岗位设置及工作要求</w:t>
      </w:r>
    </w:p>
    <w:p w14:paraId="7407435D">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引入了专业技术服务团队，团队人员技术水平及规模可满足辖区内路口的信控配时需求的及时响应，专业技术服务团队与交警大队现有的信号管理团队结合，岗位划分进行进一步细化，可划分配时中心运营（1人）、信号优化岗（2人）、质控评价岗（1人）等面向不同工作内容的专属技术岗位角色。</w:t>
      </w:r>
    </w:p>
    <w:p w14:paraId="0770D9E2">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中心运营岗：中心运行岗为信号优化配时中心的大脑，由交警及优化团队共同组成，该岗位负责管理配时中心人员、接收上级任务并将任务分解下达给配时中心其他岗位，对配时中心工作进行监督管理，统一调配配时中心的人力、物力资源。</w:t>
      </w:r>
    </w:p>
    <w:p w14:paraId="65815DF9">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信号优化岗：负责配时中心日常信号优化配时优化工作，包括值班、外场巡查、信号参数设计、配时调整、重大活动交通保障等。</w:t>
      </w:r>
    </w:p>
    <w:p w14:paraId="3F5F961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质控评价岗：对信号优化岗的工作进行监督，包括工作流程、工作规范性，保证工作质量等。同时对信号优化的效果进行评价，以发现路口交通问题，提升工作效率。</w:t>
      </w:r>
    </w:p>
    <w:p w14:paraId="720BF81E">
      <w:pPr>
        <w:spacing w:line="360" w:lineRule="auto"/>
        <w:ind w:firstLine="420" w:firstLineChars="200"/>
        <w:rPr>
          <w:rFonts w:hint="eastAsia" w:ascii="仿宋" w:hAnsi="仿宋" w:eastAsia="仿宋" w:cs="仿宋"/>
          <w:sz w:val="21"/>
          <w:szCs w:val="21"/>
        </w:rPr>
      </w:pPr>
      <w:bookmarkStart w:id="83" w:name="_Toc46423139"/>
      <w:r>
        <w:rPr>
          <w:rFonts w:hint="eastAsia" w:ascii="仿宋" w:hAnsi="仿宋" w:eastAsia="仿宋" w:cs="仿宋"/>
          <w:sz w:val="21"/>
          <w:szCs w:val="21"/>
        </w:rPr>
        <w:t>工作机制</w:t>
      </w:r>
      <w:bookmarkEnd w:id="83"/>
    </w:p>
    <w:p w14:paraId="521CED7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所有岗位企业专业技术人员应具备本科以上交通专业、光信息专业或通讯专业背景。</w:t>
      </w:r>
    </w:p>
    <w:p w14:paraId="274AFD27">
      <w:pPr>
        <w:spacing w:line="360" w:lineRule="auto"/>
        <w:ind w:firstLine="420" w:firstLineChars="200"/>
        <w:rPr>
          <w:rFonts w:hint="eastAsia" w:ascii="仿宋" w:hAnsi="仿宋" w:eastAsia="仿宋" w:cs="仿宋"/>
          <w:sz w:val="21"/>
          <w:szCs w:val="21"/>
          <w:lang w:eastAsia="zh-CN"/>
        </w:rPr>
      </w:pPr>
      <w:bookmarkStart w:id="84" w:name="_Toc65185962"/>
      <w:r>
        <w:rPr>
          <w:rFonts w:hint="eastAsia" w:ascii="仿宋" w:hAnsi="仿宋" w:eastAsia="仿宋" w:cs="仿宋"/>
          <w:sz w:val="21"/>
          <w:szCs w:val="21"/>
          <w:lang w:eastAsia="zh-CN"/>
        </w:rPr>
        <w:t>六、</w:t>
      </w:r>
      <w:bookmarkStart w:id="85" w:name="_Toc46423161"/>
      <w:r>
        <w:rPr>
          <w:rFonts w:hint="eastAsia" w:ascii="仿宋" w:hAnsi="仿宋" w:eastAsia="仿宋" w:cs="仿宋"/>
          <w:sz w:val="21"/>
          <w:szCs w:val="21"/>
          <w:lang w:eastAsia="zh-CN"/>
        </w:rPr>
        <w:t>建设效果</w:t>
      </w:r>
      <w:bookmarkEnd w:id="84"/>
      <w:bookmarkEnd w:id="85"/>
    </w:p>
    <w:p w14:paraId="3518588C">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本项目的实施将有效提高城市智能交通信号优化配时建设水平，实现所有信号控制路口的中心控制，提高交通管理科技化和智能化水平，减少路面警力投入，预计可以解放20%以上警力。</w:t>
      </w:r>
    </w:p>
    <w:p w14:paraId="2DF20DB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提高交通管理工作效率和路面通行效率，预计可使原有路段通行效率提高30%，为消防、急救、警卫等任务提供优先的信号控制，快速通行。</w:t>
      </w:r>
    </w:p>
    <w:p w14:paraId="08033733">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有效改善交通环境，减少交通拥堵，平均行程时间减少30%，从而减少机动车废气排放，减少环境空气污染，保障人民群众的“安居乐业”、“畅通出行”，提高人民群众的幸福指数。</w:t>
      </w:r>
    </w:p>
    <w:p w14:paraId="7D116764">
      <w:pPr>
        <w:spacing w:line="360" w:lineRule="auto"/>
        <w:ind w:firstLine="420" w:firstLineChars="200"/>
        <w:rPr>
          <w:rFonts w:hint="eastAsia" w:ascii="仿宋" w:hAnsi="仿宋" w:eastAsia="仿宋" w:cs="仿宋"/>
          <w:sz w:val="21"/>
          <w:szCs w:val="21"/>
        </w:rPr>
      </w:pPr>
      <w:bookmarkStart w:id="86" w:name="_Toc449379014"/>
      <w:bookmarkStart w:id="87" w:name="_Toc46423162"/>
      <w:bookmarkStart w:id="88" w:name="_Toc449379012"/>
      <w:r>
        <w:rPr>
          <w:rFonts w:hint="eastAsia" w:ascii="仿宋" w:hAnsi="仿宋" w:eastAsia="仿宋" w:cs="仿宋"/>
          <w:sz w:val="21"/>
          <w:szCs w:val="21"/>
        </w:rPr>
        <w:t>（一）提高城市智能交通信号优化配时建设水平</w:t>
      </w:r>
      <w:bookmarkEnd w:id="86"/>
      <w:bookmarkEnd w:id="87"/>
      <w:r>
        <w:rPr>
          <w:rFonts w:hint="eastAsia" w:ascii="仿宋" w:hAnsi="仿宋" w:eastAsia="仿宋" w:cs="仿宋"/>
          <w:sz w:val="21"/>
          <w:szCs w:val="21"/>
        </w:rPr>
        <w:t>.</w:t>
      </w:r>
    </w:p>
    <w:p w14:paraId="50A505D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智能交通信号优化配时中心的建设，将完善城市的整体智能交通系统，提升地区交通管理的效率和城市交通运作水平，真正实现交通管理系统化、智能化，推动城市的智能交通系统建设水平上升到新的高度。</w:t>
      </w:r>
    </w:p>
    <w:p w14:paraId="28384B2E">
      <w:pPr>
        <w:spacing w:line="360" w:lineRule="auto"/>
        <w:ind w:firstLine="420" w:firstLineChars="200"/>
        <w:rPr>
          <w:rFonts w:hint="eastAsia" w:ascii="仿宋" w:hAnsi="仿宋" w:eastAsia="仿宋" w:cs="仿宋"/>
          <w:sz w:val="21"/>
          <w:szCs w:val="21"/>
        </w:rPr>
      </w:pPr>
      <w:bookmarkStart w:id="89" w:name="_Toc46423163"/>
      <w:r>
        <w:rPr>
          <w:rFonts w:hint="eastAsia" w:ascii="仿宋" w:hAnsi="仿宋" w:eastAsia="仿宋" w:cs="仿宋"/>
          <w:sz w:val="21"/>
          <w:szCs w:val="21"/>
        </w:rPr>
        <w:t>（二）提升工作效率</w:t>
      </w:r>
      <w:bookmarkEnd w:id="88"/>
      <w:r>
        <w:rPr>
          <w:rFonts w:hint="eastAsia" w:ascii="仿宋" w:hAnsi="仿宋" w:eastAsia="仿宋" w:cs="仿宋"/>
          <w:sz w:val="21"/>
          <w:szCs w:val="21"/>
        </w:rPr>
        <w:t>，缓解交通拥堵</w:t>
      </w:r>
      <w:bookmarkEnd w:id="89"/>
      <w:r>
        <w:rPr>
          <w:rFonts w:hint="eastAsia" w:ascii="仿宋" w:hAnsi="仿宋" w:eastAsia="仿宋" w:cs="仿宋"/>
          <w:sz w:val="21"/>
          <w:szCs w:val="21"/>
        </w:rPr>
        <w:t>。</w:t>
      </w:r>
    </w:p>
    <w:p w14:paraId="3484597E">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智能交通信号优化配时中心的建设，交警可利用远程中心控制平台实施路口方案调配和区域协调控制，提高工作效率、节约警力、物力资源，提高路网通行能力，缓解和避免交通拥堵，提升城市交通运行效率。</w:t>
      </w:r>
    </w:p>
    <w:p w14:paraId="2BCB0B93">
      <w:pPr>
        <w:spacing w:line="360" w:lineRule="auto"/>
        <w:ind w:firstLine="420" w:firstLineChars="200"/>
        <w:rPr>
          <w:rFonts w:hint="eastAsia" w:ascii="仿宋" w:hAnsi="仿宋" w:eastAsia="仿宋" w:cs="仿宋"/>
          <w:sz w:val="21"/>
          <w:szCs w:val="21"/>
        </w:rPr>
      </w:pPr>
      <w:bookmarkStart w:id="90" w:name="_Toc46423164"/>
      <w:bookmarkStart w:id="91" w:name="_Toc449379013"/>
      <w:r>
        <w:rPr>
          <w:rFonts w:hint="eastAsia" w:ascii="仿宋" w:hAnsi="仿宋" w:eastAsia="仿宋" w:cs="仿宋"/>
          <w:sz w:val="21"/>
          <w:szCs w:val="21"/>
        </w:rPr>
        <w:t>（三）保障市民群众出行顺畅、安全</w:t>
      </w:r>
      <w:bookmarkEnd w:id="90"/>
      <w:bookmarkEnd w:id="91"/>
      <w:r>
        <w:rPr>
          <w:rFonts w:hint="eastAsia" w:ascii="仿宋" w:hAnsi="仿宋" w:eastAsia="仿宋" w:cs="仿宋"/>
          <w:sz w:val="21"/>
          <w:szCs w:val="21"/>
        </w:rPr>
        <w:t>。</w:t>
      </w:r>
    </w:p>
    <w:p w14:paraId="36924BA5">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智能交通信号优化配时中心的建设，意味着交通信号控制手段、效率的提高，利用先进的信号控制系统和信号优化管理理念和方案，解决信号优化配时的不合理、百姓出行不畅，如停车次数增多、行车延误增大、旅行时间延长，部分路口甚至回溢上下游、堵塞路段等交通拥堵问题，保障百姓出行顺畅、安全。</w:t>
      </w:r>
    </w:p>
    <w:p w14:paraId="3647071B">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七、交通信号灯及监控设置情况</w:t>
      </w:r>
    </w:p>
    <w:p w14:paraId="6AA417B3">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截止到2025年8月，高邮全市共有信号灯396个路口，其中联网信号灯359个，未联网的37个信号灯由交警大队督促原属地建设单位管理和维护，有条件的联网接入，规范接入后纳入服务范围。其中主城区146个信号灯路口。</w:t>
      </w:r>
    </w:p>
    <w:p w14:paraId="4CCA9783">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1、全市道路交通信号灯及监控设置</w:t>
      </w:r>
    </w:p>
    <w:tbl>
      <w:tblPr>
        <w:tblStyle w:val="40"/>
        <w:tblW w:w="97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1"/>
        <w:gridCol w:w="3411"/>
        <w:gridCol w:w="2316"/>
        <w:gridCol w:w="1238"/>
        <w:gridCol w:w="2085"/>
      </w:tblGrid>
      <w:tr w14:paraId="619DB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C4C2F">
            <w:pPr>
              <w:keepNext w:val="0"/>
              <w:keepLines w:val="0"/>
              <w:widowControl/>
              <w:suppressLineNumbers w:val="0"/>
              <w:spacing w:line="240" w:lineRule="auto"/>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序号</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FC67C">
            <w:pPr>
              <w:keepNext w:val="0"/>
              <w:keepLines w:val="0"/>
              <w:widowControl/>
              <w:suppressLineNumbers w:val="0"/>
              <w:spacing w:line="240" w:lineRule="auto"/>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监控路口名称</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2C82B">
            <w:pPr>
              <w:keepNext w:val="0"/>
              <w:keepLines w:val="0"/>
              <w:widowControl/>
              <w:suppressLineNumbers w:val="0"/>
              <w:spacing w:line="240" w:lineRule="auto"/>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信号机IP地址</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28469">
            <w:pPr>
              <w:keepNext w:val="0"/>
              <w:keepLines w:val="0"/>
              <w:widowControl/>
              <w:suppressLineNumbers w:val="0"/>
              <w:spacing w:line="240" w:lineRule="auto"/>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路口形态</w:t>
            </w:r>
          </w:p>
        </w:tc>
        <w:tc>
          <w:tcPr>
            <w:tcW w:w="20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BCF80">
            <w:pPr>
              <w:keepNext w:val="0"/>
              <w:keepLines w:val="0"/>
              <w:widowControl/>
              <w:suppressLineNumbers w:val="0"/>
              <w:spacing w:line="240" w:lineRule="auto"/>
              <w:jc w:val="center"/>
              <w:textAlignment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kern w:val="0"/>
                <w:sz w:val="21"/>
                <w:szCs w:val="21"/>
                <w:u w:val="none"/>
                <w:lang w:val="en-US" w:eastAsia="zh-CN" w:bidi="ar"/>
              </w:rPr>
              <w:t>设置监控类型</w:t>
            </w:r>
          </w:p>
        </w:tc>
      </w:tr>
      <w:tr w14:paraId="66B23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ABD3B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898E5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G233与上庄路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47A45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32.143.204.9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2A9A9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0B483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2F8E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C1C0D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81E1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G233与横立路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56122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32.143.152.5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2AD05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5C673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28A2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68D7A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810BD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G233与东平河路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275B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32.143.218.146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A7F5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95A2D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9299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60507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4776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G233与车伯线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A1E9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32.143.218.147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45E81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17B5C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70AA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9009B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65C3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G233与车樊线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3DB49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32.143.218.148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F090C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4678F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8136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5E78F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CAC97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G233与波司登大道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155D7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32.143.218.144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72ECA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321B0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E814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E5324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569C2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G233与马横线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D49DC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32.143.218.145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6415C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EB4EC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5270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8C677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31DA9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G233与通湖路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FBCFB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32.143.218.132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23948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AADC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3412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EDD46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3ECBE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G233与海潮路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BDE4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32.143.218.133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9D4C5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D3903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A122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4E4A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83E95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G233与同心路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A78A6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32.143.218.136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9B335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55C16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207E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36433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DE93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G233与兴区路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26514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32.143.218.137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D5061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2B643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0928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5C535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D0F0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G233与中心大道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162B0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32.143.218.139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735C0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0CAA5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5FB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E377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F0C4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G233与南八路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5FF3A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32.143.218.140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2FC2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904A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F0EC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2CFA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136C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G233与金黄路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70544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32.143.154.3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5EF1C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56FBA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B6E0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C5C42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55998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G233与清水潭</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8369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32.143.149.83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E5C7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BC334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984C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2C40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B05B1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G233与国庆路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BE4E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32.143.176.162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DC5E1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DA67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17E3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9C225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F56B3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G233与子婴干渠</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C28C1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32.143.177.7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4E37B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B1261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31B9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00790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786C1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G233与周马公路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CE92E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32.143.177.4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43EC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72390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29CB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8948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BF8EB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G233与应龙四支渠</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D2D93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32.143.177.5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099D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9F5F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01EA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B883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76AC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G233与二里大沟</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D86E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32.143.177.6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11DFF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2CA7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A23B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0CC8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19EE5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G233与上凌支干线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A354C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32.143.154.4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12A9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4E19A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FE00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8AE14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98641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G233与武安路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E283A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32.143.194.91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1DED6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5B139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D224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2A10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7F0CA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G233与秦邮路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22D85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32.143.218.138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953A5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7669F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61DD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2B8B8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36AF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G233与凌波路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9E1D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32.143.218.143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1A66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2994B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1F95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F6171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CC143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G233与高速二大队</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91F8B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32.143.191.140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8C0EE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F618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DD3D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1113B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F8C32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G233与邮汉路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EAF6C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32.143.218.135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CF8D8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691CA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14FD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080EE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5D986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G233与龙甘路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C1F68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32.143.191.232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4C310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057A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89A6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2FC1B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ED9D7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G233与S125</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84674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32.143.218.131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1162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8D65D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0057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23EF6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CEC50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G233与捷达路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1F821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32.143.202.102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5379E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1DDAC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1D09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23EB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3CE97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G233与六安河中桥</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CC6D7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32.143.202.131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95B88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34696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68A1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2E167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D5109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G233与勤王路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7489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32.143.204.149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BD38A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644D2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E015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2B74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ADE9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G233与曹庄路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D72ED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32.143.204.150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6DA62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D7E49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50FA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863DF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B10AC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G233与X302</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B9309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32.143.176.122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7D0A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29986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F10D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B3A2B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BA4F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G233与阳沟岗</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941CD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32.143.202.174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5396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517EE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B9D1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F2FDD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DEE6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G233与管伙路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020B9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32.143.204.171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490AE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5D90D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0F25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AE752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5CA8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G233与阳沟村部</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16C64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32.143.202.186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10B8D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2C268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577C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035C5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3830A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G233与佛塔路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BDFB1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32.143.185.104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FE07B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4E47F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75A4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FD55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A3D87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G344与振兴路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A86D4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32.143.175.249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AECDD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0980B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27CA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DB7E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B9BA8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三窑湾岗</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B7D68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32.143.174.177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90F86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7636B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1942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DCE5F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03B22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S125与郭菱线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383D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32.143.164.60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D98A1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553CD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C3D0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9322A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3DD5B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S125与南茶路口</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8CEAA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32.143.166.117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1BD6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DBF1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985F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2FDB1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A24B3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S125与曹邮仪</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B95ED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32.143.166.116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482C3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B4908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8094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322FB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AA1F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S125与送桥大道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09E7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32.143.166.115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F8CEC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C1A8B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69B4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215B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631B2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S125与大圩路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3596D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32.143.165.214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438DF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C569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5F32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BFD1E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B0FE3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S125与新联路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AE3C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32.143.192.105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84216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97F88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球机</w:t>
            </w:r>
          </w:p>
        </w:tc>
      </w:tr>
      <w:tr w14:paraId="5D3D3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78D1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3B4C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S125与毛港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F89F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32.143.207.83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FCCAD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3FEE9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DE85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397A8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9E0E7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S125与神居山路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48AB5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32.143.207.87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36ECB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B259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00B9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22D1F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E44C7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S125与许黄路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B679E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32.143.207.94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7449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AF79C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4AE6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5BE7F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486DE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S125与苏发路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530E2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32.143.208.3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D5095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AC328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2E4F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37AD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C955C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S125与金柳大道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C1036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32.143.208.4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16A95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2247F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48D0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6F4F8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EA285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S125与常集路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76CB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32.143.208.5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2377A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E6668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6ABE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33F13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C7247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S125与状元湖路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91957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32.143.208.6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F7C24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C6D62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8461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BC6EE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43A0E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S125与滨河路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02E95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32.143.207.93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10A32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C9389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E242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E5201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E6959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S125与鑫晶大道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677A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32.143.208.8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583E4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C70B4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5C2E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0ED16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6955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S264与马横线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4554D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32.143.157.199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9551F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A4BF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F544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87BDE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5A1ED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S264与迎宾大道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A7B76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32.143.212.101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880BB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2F89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4FE6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1C5E6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EDC7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S264与任家路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68122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32.143.157.91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2497B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D683C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DE67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755A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D199A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S264与汉中路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15463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32.143.211.252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C762C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69ACB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F502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B6DF2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981D8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S264与武宁大桥交界</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F3EE3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32.143.157.218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A001F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64ED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C0A1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929D2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34807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S264与营舜</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07E2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32.143.209.95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F4CC6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AD115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F450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D0576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BDA04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S264与幸福大道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52DF1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32.143.209.96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0FB78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3B76F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17EC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AD519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813DA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S264与G344</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667D5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32.143.175.88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B7F3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42B62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9548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A52E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7801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S264与带程路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699A6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32.143.200.138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146E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258C7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55CE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07D8A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98652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S264与曾钰路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3D0B8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32.143.211.253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F7488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6DD20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7600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44C7B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82832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S264与天成大桥</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7BD2D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32.143.175.100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F3E3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184A0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7F7F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CF694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0C431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S264与柳北路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E4406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32.143.156.48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1F03F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6F838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E0BF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C0557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B354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S264与秦季河路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44529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32.143.200.191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5F60D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A81C0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8163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686FA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04400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S333与X204</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38A6E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32.143.192.101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76416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58FE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C324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7548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953F7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S333与南龙路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9FEEF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32.143.192.103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3339D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437E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5018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B8FDD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97AB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S333与S264</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B4392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32.143.211.92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42E1B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76D65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763C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F0DA9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EBAD0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S333与绿扬路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57F08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32.143.192.104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98E83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CD64D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B06E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65D1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CDA31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S333与柏家路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4291C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32.143.192.102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C3774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8E35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A7B6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19329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803D8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S333与扬八路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415FE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32.143.192.100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FC865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5F2A1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0B5F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47823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7411B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S333与双金大道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AD0E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32.143.192.99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FDFE9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5292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1A2A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B4719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C7FED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S333与三汤路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0D6C9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32.143.211.197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7021B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8A6E6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3167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8CC3C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F2BB2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S333与创业路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695E8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32.143.211.163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1E477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A23FB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FCEC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34C4A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30C3B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S333与黄家厦</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3EA35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32.143.211.122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B741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982A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DD9E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0D253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EBC6A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S333与X306</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9B847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32.143.211.134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A5F0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0F69D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B3AC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2E89B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8F5EC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S333与通泰路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7415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32.143.211.177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B2736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33762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9D93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FB50D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8E351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S333与甸汤路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532FC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32.143.211.185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A0193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A9C39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0BA4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4FCEC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E644B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S333与老333</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21D3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32.143.201.52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20201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E9B36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906C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74739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D53E7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S333与野徐庄</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25930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32.143.201.63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9824E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5A0E0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8D00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A111A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5864C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S333与经三路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A6EBF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32.143.201.74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1BEC2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D4D16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7217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35340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AEB8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S333与X201</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C36ED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32.143.201.93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AADE1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3B834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E730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C4AF0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D7B1C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S333与川字路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81E57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32.143.201.107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EA9CA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20192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6EB8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5497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E81E3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S333与河口二组</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419ED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32.143.201.118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48ADB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7E541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56ED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1A8A2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7D73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S333与蔡庄路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F970E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32.143.212.109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81F04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A42F0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89FF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AD7F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9A509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S333与苏发路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C1718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32.143.207.140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0B29F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A92AE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57F3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8E417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4C9C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S333与联谊路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29039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32.143.212.120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08F89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307CF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9BB8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4B8FD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1CBB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S333与X202</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BD667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32.143.211.149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5251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37DBA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E5D5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8D4D3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DF846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S333与京沪高速南出口</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4F1A6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32.143.199.103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7932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06F6A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10F0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CBB9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76F03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S333与吴庄路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47FA4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32.143.192.125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F2441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46C72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F7B2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1D696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6F25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S333与四异路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F666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32.143.212.138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E6FF3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EB247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32A4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D666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361AE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S333与小泾沟</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00481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32.143.212.194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FBCEF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CDD5C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4BE5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4C333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8422D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S333与渠南路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B6055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32.143.204.183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74FF6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89275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9372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54074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E2FC0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S611与盘塘路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17C15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32.143.207.79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9548F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AF1B7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CEBC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17001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24E38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S611与大营路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9F41E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32.143.207.80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3836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A6A9A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3624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A783E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BC17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S611与X311路口</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9A509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32.143.207.81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91EC1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0D02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58AD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32A15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30EF7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S611与S333</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5BA19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32.143.207.82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DCFE8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EF3EB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8B5C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9A24B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6EFCA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X252与郭集大道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5A923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32.143.208.24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C759B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1BC6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AA56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13B47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FA8B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X252与迪生大道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9F7F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32.143.208.32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2D097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39424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1930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6381F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D02C1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X252与金柳大道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36075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32.143.166.228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647DD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E830F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101F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063C0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C2813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金桥路与波司登大道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9C60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32.143.149.173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9C4D1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CE094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036E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74120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F9AF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甓社路与波司登大道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3C327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32.143.186.240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42E33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655E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79E5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F2764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C0830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波司登大道与华山路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383C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32.143.186.243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6156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E5D4E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C803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03226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E3F20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蚕桑支路与正通新路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D8A50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32.143.204.197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B859C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47DD7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09EB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250EA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DA352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蚕桑支路与鸿兴路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7425C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32.143.204.210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4794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7F374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C38A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40BC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AD0C1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蚕桑支路与文游路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0B347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32.143.204.223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1C96A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888A6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1423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42D6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B4C2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S264与曹邮仪</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A6D94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32.143.163.224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F8972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2CBB8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9624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8ABA7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D8C47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X201与曹邮仪</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850BC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32.143.200.118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E6926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9F34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AB5E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0F66E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E2D2E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曹邮仪与X202</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D6C3D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32.143.175.250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62BD4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C22D8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297F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D9321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1966A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曹邮仪与周龙线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A75A9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32.143.152.6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FF29A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44885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27B9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B0F93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477A7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曹邮仪与光福寺路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EE2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32.143.200.22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25F8D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5B761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5B87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58C1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9FC00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曹邮仪线与中心路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1AB8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32.143.200.23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50B17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3BA1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C703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13ADA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E6C3B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曹邮仪与少游路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26BB8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32.143.200.24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BFE3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890C0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8792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75BDF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96FEC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曹邮仪与通宝路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F7679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32.143.156.4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37F6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3DED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AE12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020AF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46EED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曹邮仪线与周八线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6E9E5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32.143.201.128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24CD7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25A84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E200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5125E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73934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曹邮仪与X202</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EF5E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32.143.200.128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E0731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8AA75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302F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DEB72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2A76A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曹邮仪与鸿信路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E25B3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32.143.201.141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262EC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4CC15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D3A3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B0F7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A1AA7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车樊路与光明路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44295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32.143.132.50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D9E6F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160E4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w:t>
            </w:r>
          </w:p>
        </w:tc>
      </w:tr>
      <w:tr w14:paraId="58BB9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C7255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C2D46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车樊线与周八线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B97A3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32.143.212.70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46FE5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156BD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FA95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7DEC2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D3B6C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车樊线与八桥收费站</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6F26B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32.143.132.38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82BC0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6BF85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E9E4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5AE0C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5C3CD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蝶园路与馆驿路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9B224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32.143.191.135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9A565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126D7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球机</w:t>
            </w:r>
          </w:p>
        </w:tc>
      </w:tr>
      <w:tr w14:paraId="56B60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05BFD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46A87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蝶园路与新华西路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21892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32.143.191.139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69DD6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613F3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23AC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CF5B6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9FB1B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蝶园路与大寨河路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6C2D5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32.143.144.181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99B3A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5AE0F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5962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91FCD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A1B7D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武安大桥与沿河路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D13D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32.143.139.175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CC2CC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21977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8336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7A349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E1412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威高路与丁庄路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2C73E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32.143.132.63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CEEC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468EC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C868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FF24F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F3DEC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迎宾路与丁庄路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3D8EB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32.143.132.64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41FEE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A6577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54B52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7988A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B094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新河路与丁庄路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84309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32.143.222.123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B9BD9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8AD0D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w:t>
            </w:r>
          </w:p>
        </w:tc>
      </w:tr>
      <w:tr w14:paraId="2C7C0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EFB68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5C77E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东园路与镜花路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8A87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32.143.199.118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F704F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D4EB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7B17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36136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65BD9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东园路与四达路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0A600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32.143.199.135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1552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CEA28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CB25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3A92E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9590C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洞庭湖路与惠民路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72788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32.143.222.119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4BEFD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DADC5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289C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47FA5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F4EFC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车逻飞达路与朝阳大道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DBE02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32.143.155.252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8077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1E623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E80E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F8C1B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95321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车逻飞达路与运东路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988A7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32.143.155.251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22105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6B776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w:t>
            </w:r>
          </w:p>
        </w:tc>
      </w:tr>
      <w:tr w14:paraId="029FE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9A367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D40FD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卸甲飞达路与X204</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AD856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32.143.163.104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E9B3A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37F7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62E5F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54186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90FAF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卸甲飞云路与东风街</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42F3E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32.143.162.204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DCE9E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BCB6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1B382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C250F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41B1E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丰瑞路与邮汉路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29B5C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192.27.135.63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33A3C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265B9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电警（未联网）</w:t>
            </w:r>
          </w:p>
        </w:tc>
      </w:tr>
      <w:tr w14:paraId="7A6D8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5179A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04946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丰瑞路与荆花路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D0431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32.143.199.146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A4DBB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5A6EA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2F9C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63227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66E0D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蝶园路与府前街</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218A3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32.143.218.141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28CDB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08192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2F57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79952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1024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中山路与府前街</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93D5C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32.143.139.104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0EECE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5DD37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球机</w:t>
            </w:r>
          </w:p>
        </w:tc>
      </w:tr>
      <w:tr w14:paraId="7471D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EE70E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7EA44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甘武线与甸汤线（汤庄朝阳饭店门口）</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D7323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32.143.212.71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E4EB5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DD98F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2799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9BB4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43C42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甸汤线与汤武线（汤庄邮政局门口）</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4A145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32.143.161.137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337B1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D6993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340F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D0C1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520BE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原三垛大转盘</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CE6AB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32.143.157.104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6F451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E26C8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w:t>
            </w:r>
          </w:p>
        </w:tc>
      </w:tr>
      <w:tr w14:paraId="64826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AB2BF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6776B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郭集大道与状元湖路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E60F0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32.143.207.88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1763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50C85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552A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DB54C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EC457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郭集大道与进场路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D331C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32.143.208.240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F194C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59005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CF45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AE22F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93BF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郭集路与鑫明路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26C01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32.143.207.137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E675A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81C9C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8822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5C9A9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823EE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郭集路与商品街</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57785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32.143.207.138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28E72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61D8E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4108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3EA6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8663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郭集路与X310</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40D4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32.143.207.136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9EC24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A62C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87C8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A7F65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DAD5E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郭集路与苏发路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47D21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32.143.207.139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1D25A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2541F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3EDE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5E9E8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D1A71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郭菱线与扬菱线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292D1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32.143.166.119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53A73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8049D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F5EE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BE122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D2A50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郭菱线与北岗路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A3F2E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32.143.166.120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9F985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59A06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DFDE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D78E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7154D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海潮路与文游路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B6837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32.143.194.74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8A0B2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749CC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3C46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AE47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AB939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海潮路与金桥路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E246F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32.143.194.83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26098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45025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3E89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59518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CA20D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海潮路与丰瑞路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DE716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32.143.196.245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E42A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672F1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01EE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11CF8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EE9D0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海潮路与东园路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BB1A6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32.143.191.136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BD9B8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D584F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C4EE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C9D4D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D19E1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海潮路与绿杨路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975E6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32.143.150.42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41767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61B82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9565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144BA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360A2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海潮路与屏淮路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7EDA0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32.143.218.142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D42A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59097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790B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77873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08DFF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海潮路与平安路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BBC59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32.143.196.247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5717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84F50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7434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A9FB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4951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海潮路与三支渠路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9CF01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32.143.222.55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A87C2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BC7F7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FE0B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95214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9DD9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海潮路与中市河路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8A07F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32.143.222.74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5CF73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D50FE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52A7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D487C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67782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海潮路与庄台河路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84AD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32.143.222.90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700A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3A29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0B16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6A34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1C224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海潮路与四支渠路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E655E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32.143.222.109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C7030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704E7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3F63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EB573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4F934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海潮路与盐河路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A6CB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32.143.222.145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45157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6B58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BECA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A96FC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9B0E2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汤庄汉中路车汉桥</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BCDC9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32.143.212.202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2D1EC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FB40D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636D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A32B9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D1260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捍海路与奥林路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CD9E2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32.143.196.228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9C62C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788AE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EDEA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1939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EA5D8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捍海路与武安路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BC398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32.143.187.191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50B85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1DF9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ECC8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09EAC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CA862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捍海路与成贤路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2B43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32.143.144.191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B900C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241E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9E97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B7F58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C24C2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捍海路与高谢路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54F86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32.143.187.190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3693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9FB39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343F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A1082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1DDCF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捍海路与海潮路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F019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32.143.194.98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5F8AD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9E9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3A0B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7A86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B3300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捍海路与通湖路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8F8CE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32.143.194.99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68D27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ACE60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4C61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CEC7D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72987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捍海路与镜花路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71EB6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32.143.187.188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99975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63B93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5CBD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3E970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D2419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捍海路与邮汉路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46FA6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32.143.187.187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DED7B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D9C9E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29F6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EDE67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A6A5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捍海路与同心路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2EE32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32.143.187.193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CDB17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C2F62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0261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383A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7351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捍海路与玉水路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AF705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32.143.187.189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59D2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ACD1A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7FA2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AD8A8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AF641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捍海路与威高路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7C891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32.143.187.192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DAE75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B88D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EDC3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15468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68C75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捍海路与健民路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A3A14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32.143.187.194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5B620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2FEC4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20F0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EC0F9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3401A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捍海路与兴欣路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324CE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32.143.194.93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DDF6C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6336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BE09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F505D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B3403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捍海路与凌波路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0A06C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32.143.196.251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837C6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731E6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2DB8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A587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4AC4A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捍海路与兴业路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352F9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32.143.149.175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B4CF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1FC9E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w:t>
            </w:r>
          </w:p>
        </w:tc>
      </w:tr>
      <w:tr w14:paraId="56402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1431E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73C21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捍海路与珠光路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9C0E8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32.143.199.106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43B83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F24FD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AB9E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71393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B0A23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金桥路与捍海路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75F5C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32.143.139.225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0A7A5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012EB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21D2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0367A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D2A4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捍海路与泰北路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B3AD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32.143.132.78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BA312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E763B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BFD3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BB446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BC732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外环路与华山路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DB992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32.143.147.157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120B2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A978B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社会面（派出所）</w:t>
            </w:r>
          </w:p>
        </w:tc>
      </w:tr>
      <w:tr w14:paraId="74F98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3921B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67370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捍海路与九园路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28D30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32.143.147.159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77A7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005D3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1B03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15D08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E08CB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横马线与周八线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D6411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32.143.200.26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AF4A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D4750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7C1C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2BD55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EB966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马横线与甘临线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91651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32.143.200.25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5485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6E460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F926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32CF8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EE58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华山路与长江路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2D648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32.143.186.244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B281F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CE8AB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7FD6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0E2D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D0059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佳醇路与琵琶路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1B82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32.143.139.222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522A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F52AA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1CDF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ABCDD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91A01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佳醇路与烟雨路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E324B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32.143.139.223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3A4BE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FBFEC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7901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27DF5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70FA0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国雄路与嘉禾路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880C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32.143.187.196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C753B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87FA4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4134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06947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59EE4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佳禾路与傅珠路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A23B6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32.143.219.22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A34BD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15773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400C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5AD41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B69D0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健民路与东园路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A76C0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32.143.167.97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687DD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76D43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6566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4F95D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BE5E6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丰瑞路与健民路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3CA12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32.143.190.181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494E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D38F2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847B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C0122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F39F7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健民路与平安路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97183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32.143.143.58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54F5E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1E4B9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CD4A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9379C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07A58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金桥路与泰北路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A2FDE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32.143.198.229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D1C15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F0B76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99E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B6F7E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B539C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金桥路与长江路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48B22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32.143.147.158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5A05A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9C28C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社会面（派出所）</w:t>
            </w:r>
          </w:p>
        </w:tc>
      </w:tr>
      <w:tr w14:paraId="6DE21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E896A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C773D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老333与滨河路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7179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172.27.180.72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7F40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29423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0D1A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1CB2F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A8E4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老S333与望湖路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D5B64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32.143.207.92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60D0D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501B9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DB57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24092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1BD0E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凌波路与金桥路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FEEDF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32.143.131.223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3D43A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9DA8A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F22B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8F67A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528E3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凌波路与华山路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37D06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32.143.187.184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0E046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360EB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4C2A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A9AAA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A85EA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凌波路与兴业路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43104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32.143.187.185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C37B1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7625B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F9A2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027A2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A97C2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凌波路与甓社路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5B3AF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32.143.187.186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37ED9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DED55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B2C8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F99D9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A93C8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金塘与马横公路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3CF86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32.143.202.210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C3D5A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616FE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67F2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9BDDB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61116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南北大道与纬五路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84F43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32.143.166.167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EE504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7000A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2F82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7BCC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8D672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郭菱线与南北大道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D64E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32.143.166.192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E0632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77DD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6D905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5B204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5E2C2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南茶路与红旗路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82931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32.143.206.121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44CF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027CC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D819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F42F1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DB2B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琵琶路与盂城路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C54D5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32.143.196.231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0727A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C2EDE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8603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89B33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8BFCC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琵琶路与蝶园路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70CD7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32.143.196.232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BD20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8E729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51B6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FBDE9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6CE7D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洞庭湖路与甓社路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49F8A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32.143.150.12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C07BD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1284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BD70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24092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FCC65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甓社路与奥林路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9F008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32.143.186.246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71721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59FDA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82CA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C1BE8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5D188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序贤路与平安路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75538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32.143.194.89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57166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3D37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91DA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9884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4225D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平安路与众乐园路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3FE15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32.143.194.94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438ED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E85C6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B01E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EC33D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B7226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武安大桥与屏淮路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89EB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32.143.139.176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A2A71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5431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BC7F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2C285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8A7A0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凌波路与屏淮路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3FD2E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32.143.218.149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96548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7F0F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B414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84F4D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EC253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屏淮路与长江路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3741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32.143.195.224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DADD8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BB75C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8556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F810E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54FA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屏淮路与兴欣路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9682D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32.143.195.223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8768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EAC83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E5E7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FA278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1FA47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屏淮路与洞庭湖路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CCB02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32.143.195.226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1B613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51A2C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F3B0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489BF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33743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屏淮路与波司登大道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1EB86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32.143.149.118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A41AA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F0F1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A14A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8BC1D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7CDF9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屏淮路与新华东路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E34E5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32.143.218.61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A8F70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8F078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6DEB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2EC0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C0A7E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威高大桥与屏淮南路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37770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32.143.218.91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C22FB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9FA78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7094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30E9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1B34E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屏淮路与清水潭路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2F951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32.143.195.36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34B27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C1178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97D9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2CD7B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75E58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屏淮路与翰林路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24FB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32.143.218.42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72E09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49303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3A056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3E30B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27447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屏淮路与甘马路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4BB2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32.143.187.171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A65D9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ADCDE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57A6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F63A7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0594F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外国语学校西 北门</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FF290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32.143.195.228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0A5F1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0E366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DF4A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BCA56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25ECA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外国语学校西 南门</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E77DC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32.143.195.227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B2B9E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71DC8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BF6A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166D2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73E58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屏淮路与前进路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944D6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32.143.150.102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C6870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B628C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541F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A105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414AD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屏淮路与泰北路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A1F14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32.143.149.82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0819A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FB8A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C5A2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10A1D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E58A2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屏淮路与花湾路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5827B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32.143.191.138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CAE4F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D01DE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A348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ED6B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63E0F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屏淮路与陆宇路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4D22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32.143.150.85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37A32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E2183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A886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77EE5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13FE0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屏淮路与捍海路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4CFE9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32.143.195.225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DE07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231F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1E08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03442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56670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屏淮路与琵琶路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90D6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32.143.190.118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3618B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E176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662B7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4F888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5D15E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屏淮南路与振兴东路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FFEF5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32.143.167.160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E4A5A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8B46F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DEF3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4956F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D3033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秦邮路与金桥路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9D4C6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32.143.131.228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D3276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8A596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BB88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DC015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8A8B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秦邮路与捍海路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83807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32.143.131.229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931C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51797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F43B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2946D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EF787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秦邮路与屏淮路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4AA1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32.143.194.77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00FD9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C4E4C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0D32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9965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8FFC4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秦邮路与兴业路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945AF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32.143.194.78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F2527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F877F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DE15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7C9A3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038A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秦邮路与珠光路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C34A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32.143.194.79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97895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C4DA6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B6B1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0823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A433E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秦游路与甓社路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60333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32.143.194.76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756D6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E0DBB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2A6E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05E01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ED196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秦邮路与曹邮仪线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C0963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32.143.191.133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71F0A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92600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7CC7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761BC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862C1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高邮高速出入口南</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B1307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32.143.191.141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CFFE6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6809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5B40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39C7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1A16F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秦邮路与关河东路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6AC13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32.143.167.57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63D34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D05DC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F6BE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1B1FF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0011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秦邮路与文游路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AB652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32.143.131.227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8E4B1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91B6E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E98F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7179A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A68C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三支渠路与瑞康路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A2240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32.143.185.55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C452D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D8608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F797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F882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70B86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送桥大道与郭集大道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802C8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32.143.207.84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1CEEA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2B8CC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2FE6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2CB87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6B33C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送桥大道与高新区政府</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8171D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32.143.208.7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69BAD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8054D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D684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2986B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1EBA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送桥大道与送平路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8BD05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32.143.206.246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CE15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4F3C6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D3F4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DEAF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9D46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送桥大道与三古月南路口</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3F212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32.143.206.247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25033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047C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0F86D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A6664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1AC90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送桥大道与老333</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DC7CA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32.143.206.248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0B05F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D930F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DCE0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CEB9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5D160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送桥大道与学府路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CA3AE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32.143.207.253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4C4A5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FD9B1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44EBB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77C68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31CED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送桥大道与送驾路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E2A2B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32.143.206.249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6DF3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61D18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CE45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9638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2D370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送桥大道与广玉兰路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2D0C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32.143.207.252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59F35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3D82C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1DED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6AA6E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66FD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天山大道与神居山路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47A4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32.143.207.90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CD714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401FD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8C65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2F821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694A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天山大道与状元湖路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83F3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32.143.207.89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A1FED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FB003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936A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46BDC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25704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天山大道与梧桐路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B95A1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32.143.207.86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926F5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C2FBF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B909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9C191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F6DF8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康庄西路与通宝路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9B5E4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32.143.200.179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B833D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0D0A5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E48B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379DB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B71C7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通湖路与金桥路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994E8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32.143.139.68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11D64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21ADE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3E0E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96702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10BF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通湖路与中山路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22460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32.143.191.242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62A50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E0760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9AD9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0B8BC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1539B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通湖路与盂城路（北海岗）</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5FCD7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32.143.131.230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D75EE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3F77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8EF7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CFB7F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36F52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通湖路与运提路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4971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32.143.131.231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88487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206CD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BE5D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47A0A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6EC96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通湖路与嘉禾路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A57E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32.143.187.195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0EBE7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A54D4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60CC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E74DC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A7EC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通湖路与丰瑞路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949AC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32.143.196.227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1BD0F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D5AC1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7311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3CA9F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6BBA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通湖路与东园路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6DEDE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32.143.191.137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6B77A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FFBE8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BCF5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4E126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EAF8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通湖路与平安路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3C0BD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32.143.196.233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1A012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BD074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B638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8F62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565C8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通湖路与屏淮路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659EA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32.143.190.30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CEAD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CED22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20B6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F81C6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3C15B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通湖路与盐河西路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7B580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32.143.144.89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C6654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D2561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D0E0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047A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2116F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同心路与新联路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59D5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32.143.143.59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7C932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1968F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9DBD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2B08B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E3496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威高大桥东</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68DD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32.143.218.77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AE347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EDB7C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C160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B5737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4F52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文游路与武安路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72D8E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32.143.196.230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C0CDD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C396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A0B1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F2C1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B0FA4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文游路与通湖路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9ABF7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32.143.194.75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29819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8383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9624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6F354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2188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文游路与捍海路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A737D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32.143.196.249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4D187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7EDC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F746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CE47F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C400F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文游路与泰北路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6EE35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32.143.131.233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C2334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41D7B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580B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F8CB9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E7357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文游路与新华西路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5AE0A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BA145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88B89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D3FE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23129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26DF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闽江假日宾馆</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D366C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32.143.137.83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892E3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A2ECC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社会面（派出所）</w:t>
            </w:r>
          </w:p>
        </w:tc>
      </w:tr>
      <w:tr w14:paraId="4E9E1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809E2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E4F94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文游路与长兴路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4C7FF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32.143.131.224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97C37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0445A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D258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D6388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C6887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文游路与凌波路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C71E6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32.143.131.222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EDEB8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7A911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4321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E9CB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56F09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文游路与翰林路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B305F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32.143.197.15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92355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9D780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965B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7B612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3785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文游路与花湾路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39F31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32.143.194.90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59447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CD585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813B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0F708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DB246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文游路与大寨河路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62C7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32.143.218.32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1AE35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D8716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B75F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4D5DC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3558C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文游路与兴区路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0E694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32.143.137.185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920E2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F2E6F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w:t>
            </w:r>
          </w:p>
        </w:tc>
      </w:tr>
      <w:tr w14:paraId="60809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022C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32086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文游路与琵琶路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E6E9F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32.143.196.248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E391D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EF29A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7127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14BE0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D4EB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文游南路与振兴东路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2D3B3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32.146.167.149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4B5B4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B8F12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780A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2E1AA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98080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武安西路一中门口</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A11F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32.143.150.168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B5B64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B7A5D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DE2A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2ADDE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C3F7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新科路与新联路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4B70F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32.143.186.241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1549C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89AFA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w:t>
            </w:r>
          </w:p>
        </w:tc>
      </w:tr>
      <w:tr w14:paraId="3E7A4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EF58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B108B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新科路与新畅路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8666D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32.143.199.105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9ED1E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8B96B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w:t>
            </w:r>
          </w:p>
        </w:tc>
      </w:tr>
      <w:tr w14:paraId="02B62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E456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8323E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兴区路与新联路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D58A0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32.143.137.187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14AA3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B2D57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2E1A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CDFE6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56F45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兴区路与正通新路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04A5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32.143.137.188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778C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6B8D7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13FD5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93FB1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26290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兴区路与兴盛路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3DC9B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32.143.136.251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067FC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BE681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50319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92168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2BDE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兴业路与兴欣路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38AFD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32.143.199.104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FC69C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A7781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1FD9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99724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F94AF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兴业路与福民路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E9C4E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32.143.150.18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0B8F1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B3025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6769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0327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56D8A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纬五路与扬菱路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35E2C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32.143.166.168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F7EC7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0966C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5AEE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4834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C599F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扬菱路与团结路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93639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32.143.166.106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6189F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3615E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91C1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BD9B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207F8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神居山路与扬菱路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9B29D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32.143.207.91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C2FD3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6E12F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CF29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4F0F5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E5D61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邮都大道与镜花路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97EF8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32.143.189.185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B74E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B6211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16BA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C8915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D9DC9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邮都大道与海潮路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2FB08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32.143.189.150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11031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77872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884C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7C052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9B392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邮都大道与玉水路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6B8A6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32.143.189.198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584E8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E897B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29C7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CDF90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3A592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邮都大道与高汉路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B43A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32.143.189.126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A8D2A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B7829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45C8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C5512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4771E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邮都大道与邮汉路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3309B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32.143.189.163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A43D7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9B627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91B0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5A1F5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2D038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邮都大道与四达路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E247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32.143.189.174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AFD4C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078D1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8764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E334D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2599B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邮都大道与武安路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D6C0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32.143.189.139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C231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4A8C0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820D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7D8D2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BD366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邮都大道与兴区路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EAAEC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32.143.189.110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D7E10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260F9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76667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5CB2C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74BB5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邮都大道与渠南路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38E0C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32.143.189.97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9631F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AE0D2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E1A3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10879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F88F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邮都大道与中心大道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A74DA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32.143.189.80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B4C35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D82C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49CD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8CD02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565F0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邮都大道与S333</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C893C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32.143.189.67</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464D2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1634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6679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0C1BF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C50B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邮汉路与平安路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F7BE2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32.143.189.210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7771B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125B4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ACFD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731FF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7D1DD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邮汉路与邮都路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BB5DE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32.143.189.215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F84CD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16BB1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BE93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A6348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B7ADA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邮汉路与东园路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FD59B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32.143.150.115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9F887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564E6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C2B4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4EBCF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521B6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盂城路与馆驿路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5E1F4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32.143.191.134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6781C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1A5A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1082D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BDCFD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DD972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新华西路与盂城路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15ABB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32.143.195.23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C43D7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7A083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B7E4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7AF52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BD16E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卸甲镇金家村路口</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9479C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32.143.162.206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F3C93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59F2C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CD8B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B88EA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395BF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车逻运东路与迅达路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1018F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32.143.155.250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C9763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60502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5E4D8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BFBF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9FE3D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琵琶路与运提路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2D7B8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32.143.131.232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FF468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5CD4B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839D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B8909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ED326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振兴路与临川路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49CA4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32.143.175.252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61E3D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30461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117338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E03A9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11D2D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镇东路与国庆路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03E91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32.143.202.166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001E6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E411D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586A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D10EE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B0CDE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镇东路与创业路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8A5F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32.143.202.154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B65E1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6DB26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9580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3954A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248D9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中心大道与文游南路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3F430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32.143.193.9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0F05C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3ED6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CE71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02E56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86C50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中心大道与鸿兴路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D909F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32.143.198.170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BF8D3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9A9F8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A55D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44213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DFCFD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中兴大道与正新通路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CF9C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32.143.198.194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680F4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AC8FE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0CB4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B83D78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6566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中心大道与兴盛路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86D4D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32.143.198.218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A273A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E023D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E19C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D80D2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12C83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中心大道与新畅路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F39C0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32.143.137.189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491B9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65EC8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社会面（派出所）</w:t>
            </w:r>
          </w:p>
        </w:tc>
      </w:tr>
      <w:tr w14:paraId="70B89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893B8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D1653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中心大道与新联路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D0A48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32.143.186.242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2A755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8BBD2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43D8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07271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B1B8D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东园路与众乐园路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31BA1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32.143.167.98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1E5D4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AA51C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32E7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251A0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4BCD1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丰瑞路和众乐园路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E8452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32.143.167.99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D78BE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71D6A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F14C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B4917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F3175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周龙线与横马线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9A398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32.143.202.20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D7868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64F59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1446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85826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D88C3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周龙线与李周线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E1A07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32.143.209.46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3E3D9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C3DC0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89E2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4C642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CE527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周龙线与横立路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03D30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32.143.152.4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747D8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124E3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B062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5238F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090C8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周龙线与甘马线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0F53A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32.143.152.155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87B99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E3D9B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2473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EB4F4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18555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珠光路与车伯线</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9D8ED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32.143.154.5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944C6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E7065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5DEB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296FE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8CED8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珠光路与朝阳大道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3DD9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32.143.154.6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3A7B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8CE9A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6B08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46B82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740BA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珠光路与车樊路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42CDF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32.143.155.128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0E4BA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CB312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3ECC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85DAB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F7F5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珠光路与S125</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5A68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32.143.194.81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B3412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90960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B155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CFBDC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44A71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珠光路与通湖路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AFB4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32.143.196.234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08F2F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56AAD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3FE90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1A9FA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11A5C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珠光路与健民路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7EC54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32.143.196.235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C0652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EDAF5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729E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A5F0A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3ED03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珠光路与海潮路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A5DEE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32.143.196.236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7EB25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CA47E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CFE5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C7CA0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7F799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珠光路与邮汉路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6AD38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32.143.190.50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D0AD3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23164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6C1A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6CD41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335</w:t>
            </w:r>
          </w:p>
        </w:tc>
        <w:tc>
          <w:tcPr>
            <w:tcW w:w="3450" w:type="dxa"/>
            <w:tcBorders>
              <w:top w:val="single" w:color="000000" w:sz="4" w:space="0"/>
              <w:left w:val="single" w:color="000000" w:sz="4" w:space="0"/>
              <w:bottom w:val="nil"/>
              <w:right w:val="single" w:color="000000" w:sz="4" w:space="0"/>
            </w:tcBorders>
            <w:shd w:val="clear" w:color="auto" w:fill="auto"/>
            <w:noWrap/>
            <w:vAlign w:val="bottom"/>
          </w:tcPr>
          <w:p w14:paraId="424292E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珠光路与高谢路</w:t>
            </w:r>
          </w:p>
        </w:tc>
        <w:tc>
          <w:tcPr>
            <w:tcW w:w="2341" w:type="dxa"/>
            <w:tcBorders>
              <w:top w:val="single" w:color="000000" w:sz="4" w:space="0"/>
              <w:left w:val="single" w:color="000000" w:sz="4" w:space="0"/>
              <w:bottom w:val="nil"/>
              <w:right w:val="single" w:color="000000" w:sz="4" w:space="0"/>
            </w:tcBorders>
            <w:shd w:val="clear" w:color="auto" w:fill="auto"/>
            <w:noWrap/>
            <w:vAlign w:val="bottom"/>
          </w:tcPr>
          <w:p w14:paraId="161F72C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32.143.196.238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9CA29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4D813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5A26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FFF72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EF4AA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珠光路与武安路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80CD3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32.143.194.80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D383A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068D1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76EF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FAEF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088B8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珠光路与新河路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8A293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32.143.196.241</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B7C42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A4790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49384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D6A9F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6F904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珠光路与威高路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4F690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32.143.196.240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6B0F1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9C83E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电警（未接平台）</w:t>
            </w:r>
          </w:p>
        </w:tc>
      </w:tr>
      <w:tr w14:paraId="559E8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E847D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5AA65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珠光路与同心路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421BD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32.143.196.239</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700E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A9018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4AF1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444A1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340</w:t>
            </w:r>
          </w:p>
        </w:tc>
        <w:tc>
          <w:tcPr>
            <w:tcW w:w="3450" w:type="dxa"/>
            <w:tcBorders>
              <w:top w:val="nil"/>
              <w:left w:val="nil"/>
              <w:bottom w:val="nil"/>
              <w:right w:val="nil"/>
            </w:tcBorders>
            <w:shd w:val="clear" w:color="auto" w:fill="auto"/>
            <w:noWrap/>
            <w:vAlign w:val="bottom"/>
          </w:tcPr>
          <w:p w14:paraId="205827E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珠光路与迎宾路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2F0F3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32.143.196.242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5B73D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C881B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无</w:t>
            </w:r>
          </w:p>
        </w:tc>
      </w:tr>
      <w:tr w14:paraId="66A9E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F3B22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CDBA7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珠光路与捍海路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53410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32.143.194.82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41D14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85485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6872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EBA19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D5BB3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珠光路中心大道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4C8F2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32.143.196.72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6A46C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95226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54D0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A75F8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E65C7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珠光路与成贤路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9A0A6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32.143.194.96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583EB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501BD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8DEE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15B5E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61382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珠光路与纬十二路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F3533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32.143.194.95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E656C3">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AD0B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DA0C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F57EA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B447DF">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珠光路二中西门</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7E96B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32.143.143.45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A1E112">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639BA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球机</w:t>
            </w:r>
          </w:p>
        </w:tc>
      </w:tr>
      <w:tr w14:paraId="45500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FB7B1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224F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珠光路与兴欣路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122A0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32.143.186.203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9AC55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237AD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46243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A6D73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DD724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珠光路与凌波路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F13AD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32.143.196.250</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CA51C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FE8DE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59F1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380DA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348</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7F5AF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珠光路与奥林路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48DCA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32.143.192.115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259C2A">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15EBC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0811D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59ED3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349</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AD4D9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珠光路与众乐园路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1501A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32.143.144.182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30A99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8AFAE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7C02B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2B5BF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350</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12488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珠光路与洞庭湖路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C4600E">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32.143.150.6</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B9FFA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C93D2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5F797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B1DE6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351</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FFBA0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珠光路与新科路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DE79C6">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32.143.150.195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0541D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3346A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1542F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3A8DC9">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352</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14043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珠光路与兴区路</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E56D84">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32.143.196.243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9F544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A1EA35">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63B60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CE361B">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353</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463841">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珠光路与波司登大道</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BEF47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32.143.147.138</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D45948">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T字型</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07D51C">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电警</w:t>
            </w:r>
          </w:p>
        </w:tc>
      </w:tr>
      <w:tr w14:paraId="27C80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2C4DF0">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354</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27EC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通宝路与普澜大道（网络机）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8FF4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32.143.201.152</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3CF7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2B22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有监控</w:t>
            </w:r>
          </w:p>
        </w:tc>
      </w:tr>
      <w:tr w14:paraId="4A32C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32E3FD">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355</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4BAD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通宝路与任家路（网络机）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01F4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32.143.201.153</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34C0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7030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有监控</w:t>
            </w:r>
          </w:p>
        </w:tc>
      </w:tr>
      <w:tr w14:paraId="19E2F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4EECA7">
            <w:pPr>
              <w:keepNext w:val="0"/>
              <w:keepLines w:val="0"/>
              <w:widowControl/>
              <w:suppressLineNumbers w:val="0"/>
              <w:spacing w:line="240" w:lineRule="auto"/>
              <w:jc w:val="center"/>
              <w:textAlignment w:val="bottom"/>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356</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8777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岳王路与任家路（网络机）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B3EC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32.143.201.154</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38C4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C47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有监控</w:t>
            </w:r>
          </w:p>
        </w:tc>
      </w:tr>
      <w:tr w14:paraId="7B4CC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5E1AE3B">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A08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岳王路与普澜大道（网络机）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DF890">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32.143.201.155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4C0D">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42B9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w:t>
            </w:r>
          </w:p>
        </w:tc>
      </w:tr>
      <w:tr w14:paraId="4DF1C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0A4B457D">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358</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6C4DD61">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岳王路与康庄西路（网络机）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74C9F68">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D120A77">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A723FD1">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有监控</w:t>
            </w:r>
          </w:p>
        </w:tc>
      </w:tr>
      <w:tr w14:paraId="13B1F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3BEF379B">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359</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1160FAE">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（X204）陈堡路与恒丰西路（单板机）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E1F6F33">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22DAFEB">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699D475">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5AF73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1113F2D4">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360</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62C6827">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恒丰路与居庄路口（单板机）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38D9636">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B262ACC">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B06033F">
            <w:pPr>
              <w:keepNext w:val="0"/>
              <w:keepLines w:val="0"/>
              <w:widowControl/>
              <w:suppressLineNumbers w:val="0"/>
              <w:spacing w:line="240" w:lineRule="auto"/>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3ECBF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15457DAC">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361</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2B40D9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恒丰路与恒丰村部（单板机）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B4B5875">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624F80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BAF42A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0994B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514840EA">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362</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F9C9F4F">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恒丰路与孔西河路（单板机）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FD0F040">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3CF709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393D2F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6B180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74D1D3DC">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363</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A103FA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关河中桥与中兴路（网络机）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D2A05C0">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CB7D09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EEEB3ED">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7E3E4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62F44987">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364</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40E680E">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恒丰路与恒丰西路（单板机）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B211F3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C0D3D9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CAAA7E5">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6EEB6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53510650">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365</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AA81DC0">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郭集大道与常集路</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070872A">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8DFDAA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50D7550">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1AD34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161189A3">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366</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C4D9D87">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郭集大道与七彩路</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D469BF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24EDBC5">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C6A34E7">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2D294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12E85BFF">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367</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C19ACB5">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郭集大道与神居山路</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6AA9C3C">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CB65B60">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2FCACB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34B90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2E77D955">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368</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F1886CA">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郭集大道与万庄路</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5012F7D">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5E8D8B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9C16C67">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30F11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53B0526C">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369</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61B810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鸿信路与华尔路（单板机）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6A7089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B8EE13A">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D5508B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无监控</w:t>
            </w:r>
          </w:p>
        </w:tc>
      </w:tr>
      <w:tr w14:paraId="2494B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4D9DB07B">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370</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857283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郭集大道与枫香路</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3064DC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D8A0FD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C5B5A4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08AAA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272E675E">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371</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DD55C0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神居山路与望湖路</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546FAAE">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3459B20">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6E8FD10">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10948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0DF805AE">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372</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C435E3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送桥大道与菱塘大道</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7F8729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366D24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D4D89DE">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4BC1F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017B5610">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373</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E3AB34D">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天山大道与丹榉路</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39C5C7A">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F8E9470">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8E039D5">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411F1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0374BD9E">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374</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0AAE674">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兴华北路与肖祠街</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F79512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BAB5F7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71346E7">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5F2A8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0EBAA59B">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375</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60ADB3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常集路与学府路</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7A4CECC">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717EA5D">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DE2A1A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32644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53213377">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376</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798F3F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常集路与X311</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9D284CD">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CB0E21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02CBECE">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419DB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6AD4A78C">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377</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75D63E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万庄路与学府路</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232A78E">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53B71E1">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541E515">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3008B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13E84A50">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378</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5C1CC5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周龙线与中奎路</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BB7433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E4E485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65C922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有监控未联网</w:t>
            </w:r>
          </w:p>
        </w:tc>
      </w:tr>
      <w:tr w14:paraId="22DF7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309BF2AE">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379</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08781A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中奎路与恒昌街（单板机）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8B53D9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0AC38F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AFF3F97">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无监控</w:t>
            </w:r>
          </w:p>
        </w:tc>
      </w:tr>
      <w:tr w14:paraId="6FF38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6A9EA5A9">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380</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841F15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X302与崔家海（西边）（单板机）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2C53425">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98D27E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7178EFF">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无监控</w:t>
            </w:r>
          </w:p>
        </w:tc>
      </w:tr>
      <w:tr w14:paraId="33B46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695A0A28">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381</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AE25F9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X302与竹林河路（单板机）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99FDA94">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FF2364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B0B1321">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无监控</w:t>
            </w:r>
          </w:p>
        </w:tc>
      </w:tr>
      <w:tr w14:paraId="267F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4A108BCB">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382</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C8872AD">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甓湖路与盂陵路（单板机）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095253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12A496C">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2727884">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电警</w:t>
            </w:r>
          </w:p>
        </w:tc>
      </w:tr>
      <w:tr w14:paraId="26EDC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5"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05CC5733">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383</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8A42E47">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国庆路与南北河路（网络机）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79DF91D">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8BAE13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6A3788F">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无监控</w:t>
            </w:r>
          </w:p>
        </w:tc>
      </w:tr>
      <w:tr w14:paraId="2CF8B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58020B83">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384</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7D5D43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盂陵路与二里支渠路（单板机）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83328A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07732B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72518C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未知</w:t>
            </w:r>
          </w:p>
        </w:tc>
      </w:tr>
      <w:tr w14:paraId="5B0FE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685E7A5C">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385</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3AD90BA">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老淮江（X251）与界首大桥（单板机）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3BF3AAE">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638D0E4">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2CCCB5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有监控</w:t>
            </w:r>
          </w:p>
        </w:tc>
      </w:tr>
      <w:tr w14:paraId="46CDC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60116C7F">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386</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806877F">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马横线与安民路（网络机）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EF6DDF1">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3D0734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3938AF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无监控</w:t>
            </w:r>
          </w:p>
        </w:tc>
      </w:tr>
      <w:tr w14:paraId="0F085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34B11A">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387</w:t>
            </w:r>
          </w:p>
        </w:tc>
        <w:tc>
          <w:tcPr>
            <w:tcW w:w="3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0823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马横线与屏淮北路（网络机）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ECCF">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32.143.202.225</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9E86D">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B73C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已联网</w:t>
            </w:r>
          </w:p>
        </w:tc>
      </w:tr>
      <w:tr w14:paraId="6F011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20C742F9">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388</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447466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东湖路与晒金路（网络机）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FEEA30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73066C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3C7557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社会面</w:t>
            </w:r>
          </w:p>
        </w:tc>
      </w:tr>
      <w:tr w14:paraId="581BD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612FB73F">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389</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AE9D787">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东湖路与温泉路（网络机）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2A6C65A">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F675617">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2D650E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社会面</w:t>
            </w:r>
          </w:p>
        </w:tc>
      </w:tr>
      <w:tr w14:paraId="43028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26B58EF8">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390</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B7B241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屏淮北路与东湖路（网络机）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17380B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F155A3E">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A8913D7">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社会面</w:t>
            </w:r>
          </w:p>
        </w:tc>
      </w:tr>
      <w:tr w14:paraId="0024A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08966776">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391</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9F507D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屏淮北路与Y121乡道（网络机）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BA35DC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572CF77">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689E96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无监控</w:t>
            </w:r>
          </w:p>
        </w:tc>
      </w:tr>
      <w:tr w14:paraId="21612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169BD5D0">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392</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5700F3A">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九园路与港口路（网络机）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37E005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A127551">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7E3A42B">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社会面</w:t>
            </w:r>
          </w:p>
        </w:tc>
      </w:tr>
      <w:tr w14:paraId="71F15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6C0836B2">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393</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E7B15E3">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华山路与港口路（网络机）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A13E59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D5BDE4C">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T型路口</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0BE814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无监控</w:t>
            </w:r>
          </w:p>
        </w:tc>
      </w:tr>
      <w:tr w14:paraId="1FFF4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68CEB240">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394</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A23138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中兴路与龙华路（单板机）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881F7B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58F5E3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55BF6780">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未知</w:t>
            </w:r>
          </w:p>
        </w:tc>
      </w:tr>
      <w:tr w14:paraId="17953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50016FB1">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395</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694F8AF6">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X306与中兴路（单板机）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76BC702">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A0326CA">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3E7B6C9">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未知</w:t>
            </w:r>
          </w:p>
        </w:tc>
      </w:tr>
      <w:tr w14:paraId="7B561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9" w:type="dxa"/>
            <w:tcBorders>
              <w:top w:val="single" w:color="000000" w:sz="4" w:space="0"/>
              <w:left w:val="single" w:color="000000" w:sz="4" w:space="0"/>
              <w:bottom w:val="single" w:color="000000" w:sz="4" w:space="0"/>
              <w:right w:val="single" w:color="000000" w:sz="4" w:space="0"/>
            </w:tcBorders>
            <w:shd w:val="clear" w:color="auto" w:fill="FFFF00"/>
            <w:noWrap/>
            <w:vAlign w:val="bottom"/>
          </w:tcPr>
          <w:p w14:paraId="35DBB3B5">
            <w:pPr>
              <w:keepNext w:val="0"/>
              <w:keepLines w:val="0"/>
              <w:widowControl/>
              <w:suppressLineNumbers w:val="0"/>
              <w:spacing w:line="24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396</w:t>
            </w:r>
          </w:p>
        </w:tc>
        <w:tc>
          <w:tcPr>
            <w:tcW w:w="345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EA7F828">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新联路与创业路（单板机）</w:t>
            </w:r>
          </w:p>
        </w:tc>
        <w:tc>
          <w:tcPr>
            <w:tcW w:w="234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1BBDD891">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未联网</w:t>
            </w:r>
          </w:p>
        </w:tc>
        <w:tc>
          <w:tcPr>
            <w:tcW w:w="1234"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B2EA545">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十字型</w:t>
            </w:r>
          </w:p>
        </w:tc>
        <w:tc>
          <w:tcPr>
            <w:tcW w:w="2108"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2AA1E231">
            <w:pPr>
              <w:keepNext w:val="0"/>
              <w:keepLines w:val="0"/>
              <w:widowControl/>
              <w:suppressLineNumbers w:val="0"/>
              <w:spacing w:line="24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未知</w:t>
            </w:r>
          </w:p>
        </w:tc>
      </w:tr>
    </w:tbl>
    <w:p w14:paraId="62CC391A">
      <w:pPr>
        <w:numPr>
          <w:ilvl w:val="0"/>
          <w:numId w:val="0"/>
        </w:numPr>
        <w:spacing w:line="360" w:lineRule="auto"/>
        <w:rPr>
          <w:rFonts w:hint="default" w:ascii="仿宋" w:hAnsi="仿宋" w:eastAsia="仿宋" w:cs="仿宋"/>
          <w:color w:val="auto"/>
          <w:sz w:val="24"/>
          <w:szCs w:val="24"/>
          <w:highlight w:val="none"/>
          <w:lang w:val="en-US" w:eastAsia="zh-CN" w:bidi="ar-SA"/>
        </w:rPr>
      </w:pPr>
      <w:bookmarkStart w:id="92" w:name="_Toc109304975"/>
      <w:r>
        <w:rPr>
          <w:rFonts w:hint="eastAsia" w:ascii="仿宋" w:hAnsi="仿宋" w:eastAsia="仿宋" w:cs="仿宋"/>
          <w:color w:val="auto"/>
          <w:sz w:val="21"/>
          <w:szCs w:val="21"/>
          <w:highlight w:val="none"/>
          <w:lang w:val="en-US" w:eastAsia="zh-CN" w:bidi="ar-SA"/>
        </w:rPr>
        <w:t>注：396个路口为高邮全市信号灯路口，城区道路、国省、省道、县道道具备联网条件的信号灯路口必须进行全量优化，其他道路的、未联网的可选择性进行优化。</w:t>
      </w:r>
    </w:p>
    <w:p w14:paraId="7ADD781C">
      <w:pPr>
        <w:numPr>
          <w:ilvl w:val="0"/>
          <w:numId w:val="0"/>
        </w:numPr>
        <w:spacing w:line="360" w:lineRule="auto"/>
        <w:ind w:left="0" w:leftChars="0" w:firstLine="558" w:firstLineChars="266"/>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2、主城区信号灯路口</w:t>
      </w:r>
    </w:p>
    <w:tbl>
      <w:tblPr>
        <w:tblStyle w:val="40"/>
        <w:tblW w:w="94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3"/>
        <w:gridCol w:w="1699"/>
        <w:gridCol w:w="4739"/>
        <w:gridCol w:w="2037"/>
      </w:tblGrid>
      <w:tr w14:paraId="63671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2D4A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序号</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296F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主干道</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778D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相交道路名称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EEF1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辖区中队</w:t>
            </w:r>
          </w:p>
        </w:tc>
      </w:tr>
      <w:tr w14:paraId="1A4C4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9A45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1659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蝶园路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13DF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蝶南路与馆驿路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0F43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城区二中队</w:t>
            </w:r>
          </w:p>
        </w:tc>
      </w:tr>
      <w:tr w14:paraId="1CA90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F24F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980B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蝶园路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0EA9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蝶园路与府前街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939A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城区二中队</w:t>
            </w:r>
          </w:p>
        </w:tc>
      </w:tr>
      <w:tr w14:paraId="463AB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B015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4307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蝶园路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229E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蝶园路与琵琶路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2A33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156C3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22FF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AAA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蝶园路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8E68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蝶园南路与大寨河路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5281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0327C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E4D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D9B4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蝶园路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5683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蝶园南路与新华西路交叉路口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7289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1D758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BE33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378D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E0D5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东园路与海潮东路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054E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7CB0C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EF70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AFEE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4063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东园路与通湖东路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A0B7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6283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A394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C68A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6630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二中西门（柱式）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8D38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D626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C7F7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9CD8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6754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丰瑞路与海潮东路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1520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457E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7B5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5F30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0ED3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丰瑞路与通湖东路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79A7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B8DD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EE57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BB0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C2C7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丰瑞路与邮汉路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66E4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36F83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56FD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8B8C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0329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捍海路与奥林路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AA99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58E2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EFD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E527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2403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捍海路与高谢路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8A9C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72DE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3D7F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E01B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99EF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捍海路与海潮东路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7CF9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15779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7ECC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2227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561A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捍海路与健民路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80E8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30E7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97E7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E052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5514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捍海路与镜花路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E84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5E9A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6595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426D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ACF6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捍海路与凌波路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FB0F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379D3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D66C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55F5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DAEA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捍海路与屏淮路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F092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85CD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4CAF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35D8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B0E3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捍海路与秦邮路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DB6D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41D52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F7D9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0494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48E2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捍海路与通湖东路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B553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7883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00EA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9D7F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2627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捍海路与同心路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FEE9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5ACB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BAF4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E98A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5532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捍海路与威高路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00CD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30DD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CB15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8F0D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2300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捍海路与武安路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E0CF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37617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278B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AA08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5050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捍海路与兴欣路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9652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FAE6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89ED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F99B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5316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捍海路与序贤路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FBB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B69A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008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0FF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C47B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捍海路与邮汉路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5418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6DEF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629D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6DE6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68D1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捍海路与玉水路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555F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EFE3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DAE8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6AAB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3731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捍海路与珠光南路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1A51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9CD9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5D36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29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B43A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华山路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CA11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华山路与凌波路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AB5A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5318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FE0B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3B92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嘉禾路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8FF4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嘉禾路与傅珠路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20DF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40AC3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BF71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A5D6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嘉禾路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256A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嘉禾路与国雄路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26B2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3D6D0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A944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9026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嘉禾路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ECB6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嘉禾路与通湖路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4A7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16B75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8732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DA52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8096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金桥路与海潮路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40AB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22764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5210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1841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6263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金桥路与凌波路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84A1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65809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7F9C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94ED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E9FB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金桥路与秦邮路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150F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DD23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8DD2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DCFF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D5E7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金桥路与通湖路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2E27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7D88F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66DC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3806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甓社路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9405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甓社路与凌波路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055B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5A7E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ACE2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EF63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甓社路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EC5C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甓社路与秦邮路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CE19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CDA9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DA0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39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009B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F1DF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平安路与海潮东路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2420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5601A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E1E9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3241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3067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平安路与通湖路交叉口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FFA6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68C05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2BF0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BF22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EFF3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平安路与序贤路交叉口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9DF3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43E4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0C9E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7F67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F825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平安路与邮汉路交叉口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4205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35B6F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76B7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5422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9E5D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平安路与众乐园路交叉口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B376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4B6E9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DBA2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D811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6B8D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屏淮路花湾路路口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43D9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16739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340A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E5FA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A670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屏淮路陆宇路路口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3CDE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65FED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58E3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819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D022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屏淮路前进路路口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C469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7F254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4160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0A0C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759B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屏淮路与波司登大道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A913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4082B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0576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2CBA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6018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屏淮路与洞庭湖路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2FEB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4651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73D0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49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9496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BFDA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屏淮路与海潮路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1DB8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44DD9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22F4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FA31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F1B0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屏淮路与翰林路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D242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55837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CB39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5AA0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BD8D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屏淮路与凌波路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9C7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F150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33C6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05B2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A428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屏淮路与秦邮路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D5FD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7137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D286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8614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975D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屏淮路与泰北路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9A43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C904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4092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75F1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08F1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屏淮路与通湖路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28A4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6C954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D3A9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64D6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7F4C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屏淮路与武安路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410B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5850F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4AC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02BD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F83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屏淮路与新华西路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7C98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55A44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7732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076B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CB3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屏淮路与兴欣路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5883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F84D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D23E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6E8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34A8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屏淮路与长江路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EE9E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3653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88F4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59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FC89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066E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外国语学校北门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D7EE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1C16A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B6EB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21DD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屏淮路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E4F0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外国语学校南门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E4A9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96D8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9EE3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B5BA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威高大桥</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5B17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威高大桥与屏淮路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F90B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7E400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6D35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6CA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威高大桥</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1592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威高大桥与新河路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B52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马棚中队</w:t>
            </w:r>
          </w:p>
        </w:tc>
      </w:tr>
      <w:tr w14:paraId="2AC14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4993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C5C4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3E42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文游路与大寨河路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C495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4F57F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43F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CAEC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34DD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文游路与海潮路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C06F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01F26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877B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5135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4F77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文游路与翰林路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0A20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0817D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6CB4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4FB0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C195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文游路与花湾路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9FD8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5D8E5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C858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174F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336C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文游路与凌波路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7BA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03FED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5E76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DB59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D299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文游路与琵琶路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2282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393CF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0D06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69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FFCC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A65E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文游路与秦邮路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62D8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6EA81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755B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A4B7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A279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文游路与泰北路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F1D1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13006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408F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0F90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7A84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文游路与通湖路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EADA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421A1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E74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79D5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6367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文游路与外环路（捍海）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5DD2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3941D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A21F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FE6B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8393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文游路与武安路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A564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0EDCC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F125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7C43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0501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文游路与新华路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ECCB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0D002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0846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3E32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3237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文游路与烟雨路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6362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0B2C1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42A2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9F6F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65CB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文游路与长兴路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86C6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27104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E57C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2F05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1243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文游路与中心大道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32A4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61DCC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DD1D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A53A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D997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武安路与丁庄路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ABF9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226BC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228D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79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7C0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兴业路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82C0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兴业路与凌波路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3C5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CD9C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00E1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DF5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兴业路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9806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兴业路与秦邮路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F216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32DE6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BE59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C7C8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盂城路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0DB2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盂城路与馆驿路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1DD8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1EB4C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62B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596E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盂城路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42B5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盂城路与琵琶路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AEEF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3BEBF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2ED9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000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盂城路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CA1E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盂城路与通湖路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BEC4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438D2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5B55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A18C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运堤路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6216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运河东堤与琵琶路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9CF9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2451B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EA14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DD06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运堤路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761C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运河东堤与通湖路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4ED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58E39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A111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E490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中山路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2A28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中山路与府前街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A05F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108D5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9DCC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8C01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中山路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D6E8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中山路与通湖路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379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285AC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F62F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FEA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3B15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珠光路与S125省道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6F52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03541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5EF5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89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53D4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F1CD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珠光路与高谢路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CD84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A7E5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FC98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93E1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5681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珠光路与海潮东路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ACDF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622E3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E969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2644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3035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珠光路与健民路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97BE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36F04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B3BD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504A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4210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珠光路与凌波路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3CFD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8E3E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139A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A28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2C00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珠光路与秦邮路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24B1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DF4F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DB77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279E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1B6B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珠光路与通湖路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4406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85FB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693A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A5A2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F999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珠光路与同心路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D242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6FA7D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B6CA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545A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8092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珠光路与威高路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ED2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61A45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1DA2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E3F2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7430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珠光路与纬十二路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CDC6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EE31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2BA9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87AF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D072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珠光路与武安路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E8E1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BC0A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65C1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99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475E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FA04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珠光路与新河路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70B3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5858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4D1B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A737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2939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珠光路与兴区路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961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46155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906E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3200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3B90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珠光路与兴欣路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38B6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7E28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5E29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EB5C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2AC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珠光路与序贤路交叉口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6A4E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D920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CE9C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F11C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2423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珠光路与迎宾路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EE05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68195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1B09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8240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D98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珠光路与邮汉线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58C0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158D3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FF7E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B417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D92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珠光路与中心大道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A9BA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6521C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AFAA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5D1A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E844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邮都路与邮汉路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67E1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C94D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65E2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0A7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12DA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正通新路与中心大道交叉口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22DF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41D67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4019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6E7F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4085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中心大道与鸿兴路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65BB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64753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45DF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109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5FD9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85D4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中心大道与兴盛路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9A1D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6BEB9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83CD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ED92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3BFB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波司登大道与金桥北路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F144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E0E2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5E7B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88F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3B6E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东园路与健民路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4D23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6CBB8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0ED0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2BA3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23B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东园路与邮汉路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99B0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17F7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FE03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CD24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044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东园路与众乐园路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847C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DC02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215E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83EB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BAAD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丰瑞路与健民路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E67D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2FF91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09FA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C56F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9951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丰瑞路与众乐园路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D190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3A58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37CD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224B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武安路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0B09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一中南门（柱式）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89F1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7D1AD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9E70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0C06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2A5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捍海路与华山路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8B91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42E3A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C38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D58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B516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捍海路与金桥路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F55A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EB38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87F2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119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1C16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4E65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捍海路与九园路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74C4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FA56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7CAA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8E7E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3BB6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捍海路与兴业路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4450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A95D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52E7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AB3C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华山路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5ED6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华山路与波司登大道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B88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0F601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B813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F8EC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华山路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422B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华山路与长江路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5A98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6AE25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2000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B17F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佳醇路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5E71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佳醇路与琵琶路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C8C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2EC4C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85EC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470C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佳醇路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C881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佳醇路与烟雨路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9B50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2D20F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C9C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0275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佳醇路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7B07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佳醇路与海潮路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A2AB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3A829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EB8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F5A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4102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金桥路与波司登大道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3467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665FB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48F7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E843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C3A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金桥路与泰北路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DADF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1AE9F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0624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1468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71D3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金桥路与长江路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9F70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43E44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4058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129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60D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甓社路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28F1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甓社路与奥林路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36A7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560C1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8AEC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DAAA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甓社路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0407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甓社路与波司登大道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3BA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34F66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DB89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9DA6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D4AE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平安路与健民路交叉口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1DDA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45430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D8D7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D365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同心路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1CCC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同心东路与凤凰路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725B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536C4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DF9E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9C77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同心路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08A8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同心路与新联路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9487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287A9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F2CB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4FC7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丁庄路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9CE0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威高路与丁庄路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AB5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0CC6D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E0A4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0436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118D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文游路与兴区路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E42A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3D95B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3E2E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D26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新河路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2EA9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新河路与丁庄路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4671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1C118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F253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137</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C4F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新科路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8115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新科路与新畅路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0DA9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70B20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6783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138</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48CB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新科路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1D13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新科路与新联路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C556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2FBB2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3CEA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139</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E065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兴区路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C8A3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兴区与新联路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8054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6F689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5233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140</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3246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兴区路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D5D0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兴区与正通新路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A34D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3CAD2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C178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141</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2F82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兴业路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5230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兴业路与兴欣路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CEC5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2E27C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DEDD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142</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205F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丁庄路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A093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迎宾路与丁庄路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767D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城区二中队</w:t>
            </w:r>
          </w:p>
        </w:tc>
      </w:tr>
      <w:tr w14:paraId="1440E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DFA5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143</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1B3F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45B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中心大道与新畅路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4F72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3369F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EE3B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144</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49FB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0549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中心大道与新联路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0DDF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车逻中队</w:t>
            </w:r>
          </w:p>
        </w:tc>
      </w:tr>
      <w:tr w14:paraId="31B33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E196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145</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63F8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DB9D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珠光路与外环路北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F240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r w14:paraId="726F2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AB99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146</w:t>
            </w:r>
          </w:p>
        </w:tc>
        <w:tc>
          <w:tcPr>
            <w:tcW w:w="1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3652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w:t>
            </w:r>
          </w:p>
        </w:tc>
        <w:tc>
          <w:tcPr>
            <w:tcW w:w="4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3325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珠光路与众乐园路交叉口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6A75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kern w:val="0"/>
                <w:sz w:val="21"/>
                <w:szCs w:val="21"/>
                <w:u w:val="none"/>
                <w:lang w:val="en-US" w:eastAsia="zh-CN" w:bidi="ar"/>
              </w:rPr>
              <w:t>城区一中队</w:t>
            </w:r>
          </w:p>
        </w:tc>
      </w:tr>
    </w:tbl>
    <w:p w14:paraId="37123264">
      <w:pPr>
        <w:numPr>
          <w:ilvl w:val="0"/>
          <w:numId w:val="0"/>
        </w:numPr>
        <w:spacing w:line="360" w:lineRule="auto"/>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注：城区范围：东至G233（不含），南至S333（不含），西至运堤路，北至波司登大道。</w:t>
      </w:r>
    </w:p>
    <w:p w14:paraId="50904428">
      <w:pPr>
        <w:numPr>
          <w:ilvl w:val="0"/>
          <w:numId w:val="0"/>
        </w:numPr>
        <w:spacing w:line="360" w:lineRule="auto"/>
        <w:ind w:left="0" w:leftChars="0" w:firstLine="558" w:firstLineChars="266"/>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八、人员要求</w:t>
      </w:r>
    </w:p>
    <w:p w14:paraId="3DDB0E1D">
      <w:pPr>
        <w:numPr>
          <w:ilvl w:val="0"/>
          <w:numId w:val="0"/>
        </w:numPr>
        <w:spacing w:line="360" w:lineRule="auto"/>
        <w:ind w:left="0" w:leftChars="0" w:firstLine="558" w:firstLineChars="266"/>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甲方提供2名专业技术人员(人员要相对固定)常驻交管大队指挥大厅，且由中标方提供常用的信控专业工具软件，日常保障1人，与大厅日班值班人员工作时间同步，遇重大节假日、重要安保任务、大型活动等重要交通安保活动可应甲方要求2名同时到岗，接受加班，保障活动顺利完成、道路畅通才可结束工作。专业人员应具备以下条件：应具备本科以上交通专业、光信息专业或通讯专业背景，能够熟练掌握信号控制系统，熟练预排并调控VIP警卫绿波任务，熟练设计和下发并评估重要路段绿波带方案，熟练实现重要路口单点配时优化，熟练掌握与路口执勤警力联动进行信号远程调控等各项操作，通过日常操作信号控制系统。日常工作完成</w:t>
      </w:r>
      <w:r>
        <w:rPr>
          <w:rFonts w:hint="eastAsia" w:ascii="仿宋" w:hAnsi="仿宋" w:eastAsia="仿宋" w:cs="仿宋"/>
          <w:color w:val="auto"/>
          <w:sz w:val="21"/>
          <w:szCs w:val="21"/>
          <w:highlight w:val="none"/>
          <w:lang w:val="en-US" w:eastAsia="zh-CN" w:bidi="ar-SA"/>
        </w:rPr>
        <w:t>《高邮市道路交通组织优化服务清单》</w:t>
      </w:r>
      <w:r>
        <w:rPr>
          <w:rFonts w:hint="eastAsia" w:ascii="仿宋" w:hAnsi="仿宋" w:eastAsia="仿宋" w:cs="仿宋"/>
          <w:color w:val="auto"/>
          <w:sz w:val="21"/>
          <w:szCs w:val="21"/>
          <w:lang w:val="en-US" w:eastAsia="zh-CN" w:bidi="ar-SA"/>
        </w:rPr>
        <w:t>工作内容，交管大队交控中心通过对工作完成情况进行评分。</w:t>
      </w:r>
    </w:p>
    <w:p w14:paraId="5E19A565">
      <w:pPr>
        <w:numPr>
          <w:ilvl w:val="0"/>
          <w:numId w:val="0"/>
        </w:numPr>
        <w:spacing w:line="360" w:lineRule="auto"/>
        <w:ind w:left="0" w:leftChars="0" w:firstLine="558" w:firstLineChars="266"/>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由运营商参与，主动联系信号专业团队，团队需要熟练掌握和精通高邮交管大队现有的信号机及信号控制系统的性能、特点、操作技巧，能够利用专业知识技能提升高邮市智能化交通管理水平，通过智能信号控制切实提高高邮道路交通通行效率。</w:t>
      </w:r>
    </w:p>
    <w:p w14:paraId="19BCA428">
      <w:pPr>
        <w:numPr>
          <w:ilvl w:val="0"/>
          <w:numId w:val="0"/>
        </w:numPr>
        <w:spacing w:line="360" w:lineRule="auto"/>
        <w:ind w:left="0" w:leftChars="0" w:firstLine="558" w:firstLineChars="266"/>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九、</w:t>
      </w:r>
      <w:bookmarkStart w:id="93" w:name="_Toc65185961"/>
      <w:r>
        <w:rPr>
          <w:rFonts w:hint="eastAsia" w:ascii="仿宋" w:hAnsi="仿宋" w:eastAsia="仿宋" w:cs="仿宋"/>
          <w:color w:val="auto"/>
          <w:sz w:val="21"/>
          <w:szCs w:val="21"/>
          <w:lang w:val="en-US" w:eastAsia="zh-CN" w:bidi="ar-SA"/>
        </w:rPr>
        <w:t>建设规模和投入</w:t>
      </w:r>
      <w:bookmarkEnd w:id="93"/>
    </w:p>
    <w:p w14:paraId="7060E789">
      <w:pPr>
        <w:numPr>
          <w:ilvl w:val="0"/>
          <w:numId w:val="0"/>
        </w:numPr>
        <w:spacing w:line="360" w:lineRule="auto"/>
        <w:ind w:left="0" w:leftChars="0" w:firstLine="558" w:firstLineChars="266"/>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根据市政府财政资金计划，并根据现有市场行情，以下方案规模进行设计。</w:t>
      </w:r>
    </w:p>
    <w:p w14:paraId="6BB279C1">
      <w:pPr>
        <w:numPr>
          <w:ilvl w:val="0"/>
          <w:numId w:val="0"/>
        </w:numPr>
        <w:spacing w:line="360" w:lineRule="auto"/>
        <w:ind w:left="0" w:leftChars="0" w:firstLine="558" w:firstLineChars="266"/>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方案内容，基础配置，1名民警、1名辅警和2名专业技术人员（中标单位派驻,日常交替派驻1名），对高邮辖区396个路口，通过购买服务的方式持续三年进行服务，服务要求覆盖上述项目需求，预算98万元，最高限价93.1万元。</w:t>
      </w:r>
    </w:p>
    <w:p w14:paraId="4B8EED13">
      <w:pPr>
        <w:numPr>
          <w:ilvl w:val="0"/>
          <w:numId w:val="0"/>
        </w:numPr>
        <w:spacing w:line="360" w:lineRule="auto"/>
        <w:ind w:left="0" w:leftChars="0" w:firstLine="558" w:firstLineChars="266"/>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上述费用仅为项目招标预算费用，不含场地费用和民警、辅警工资费用。</w:t>
      </w:r>
    </w:p>
    <w:p w14:paraId="3530825D">
      <w:pPr>
        <w:numPr>
          <w:ilvl w:val="0"/>
          <w:numId w:val="0"/>
        </w:numPr>
        <w:spacing w:line="360" w:lineRule="auto"/>
        <w:ind w:left="0" w:leftChars="0" w:firstLine="558" w:firstLineChars="266"/>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五、考核机制</w:t>
      </w:r>
    </w:p>
    <w:p w14:paraId="3EE9D5D9">
      <w:pPr>
        <w:numPr>
          <w:ilvl w:val="0"/>
          <w:numId w:val="0"/>
        </w:numPr>
        <w:spacing w:line="360" w:lineRule="auto"/>
        <w:ind w:left="0" w:leftChars="0" w:firstLine="558" w:firstLineChars="266"/>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项目实施后，采用高德（交警支队技术支撑）第三方评估数据，一是对关键点进行单点优化，100%优化路口平均延误时间有所下降，30%以上路口的服务水平得到提升。二是主次干道协调条路口，绿波设置方向高峰和全天平均车速有所提升。作为验收的必备条件。</w:t>
      </w:r>
    </w:p>
    <w:p w14:paraId="51512832">
      <w:pPr>
        <w:numPr>
          <w:ilvl w:val="0"/>
          <w:numId w:val="0"/>
        </w:numPr>
        <w:spacing w:line="360" w:lineRule="auto"/>
        <w:ind w:left="0" w:leftChars="0" w:firstLine="558" w:firstLineChars="266"/>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highlight w:val="none"/>
          <w:lang w:val="en-US" w:eastAsia="zh-CN" w:bidi="ar-SA"/>
        </w:rPr>
        <w:t>项目实施后，对照服务项目清单，每年由甲方对项目完成</w:t>
      </w:r>
      <w:r>
        <w:rPr>
          <w:rFonts w:hint="eastAsia" w:ascii="仿宋" w:hAnsi="仿宋" w:eastAsia="仿宋" w:cs="仿宋"/>
          <w:color w:val="auto"/>
          <w:sz w:val="21"/>
          <w:szCs w:val="21"/>
          <w:lang w:val="en-US" w:eastAsia="zh-CN" w:bidi="ar-SA"/>
        </w:rPr>
        <w:t>情况进行评估，按100分制进行评分（信号优化控制80分、舆情管理及成果宣传5分、质控评价5分、交通信号优化配时仿真研判服务5分、互联网+交通大数据平台5分），实行扣分制，90分及以上评级为优、80分以上评级为良、70分以上评级为一般、60分以上为评级为合格，60分以下评级为不合格。优秀付合同款100%、良付合同款的90%、一般付合同款70%，合格付合同款60%，不合格不付款，转入下一年重新评估付款。</w:t>
      </w:r>
    </w:p>
    <w:p w14:paraId="3CDC4867">
      <w:pPr>
        <w:numPr>
          <w:ilvl w:val="0"/>
          <w:numId w:val="0"/>
        </w:numPr>
        <w:spacing w:line="360" w:lineRule="auto"/>
        <w:ind w:left="0" w:leftChars="0" w:firstLine="558" w:firstLineChars="266"/>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六、付款方式</w:t>
      </w:r>
    </w:p>
    <w:p w14:paraId="52A62339">
      <w:pPr>
        <w:numPr>
          <w:ilvl w:val="0"/>
          <w:numId w:val="0"/>
        </w:numPr>
        <w:spacing w:line="360" w:lineRule="auto"/>
        <w:ind w:left="0" w:leftChars="0" w:firstLine="558" w:firstLineChars="266"/>
        <w:rPr>
          <w:rFonts w:hint="eastAsia" w:ascii="仿宋" w:hAnsi="仿宋" w:eastAsia="仿宋" w:cs="仿宋"/>
          <w:color w:val="auto"/>
          <w:sz w:val="24"/>
          <w:szCs w:val="24"/>
          <w:lang w:val="en-US" w:eastAsia="zh-CN" w:bidi="ar-SA"/>
        </w:rPr>
      </w:pPr>
      <w:r>
        <w:rPr>
          <w:rFonts w:hint="eastAsia" w:ascii="仿宋" w:hAnsi="仿宋" w:eastAsia="仿宋" w:cs="仿宋"/>
          <w:color w:val="auto"/>
          <w:sz w:val="21"/>
          <w:szCs w:val="21"/>
          <w:u w:val="single"/>
          <w:lang w:val="en-US" w:eastAsia="zh-CN" w:bidi="ar-SA"/>
        </w:rPr>
        <w:t>合同签订后一个月内凭乙方的发票付合同价的10%的预付款，以后分三年支付，每满一年支付一次费用，每次支付费用按审计价扣除预付款的三分之一。所有款项支付均需要出具正式的增值税发票方能支付。</w:t>
      </w:r>
      <w:r>
        <w:rPr>
          <w:rFonts w:hint="eastAsia" w:ascii="仿宋" w:hAnsi="仿宋" w:eastAsia="仿宋" w:cs="仿宋"/>
          <w:color w:val="auto"/>
          <w:sz w:val="24"/>
          <w:szCs w:val="24"/>
          <w:lang w:val="en-US" w:eastAsia="zh-CN" w:bidi="ar-SA"/>
        </w:rPr>
        <w:br w:type="page"/>
      </w:r>
    </w:p>
    <w:p w14:paraId="458845BF">
      <w:pPr>
        <w:pStyle w:val="212"/>
        <w:spacing w:before="120" w:after="120" w:line="360" w:lineRule="auto"/>
        <w:ind w:firstLine="200"/>
        <w:jc w:val="center"/>
        <w:rPr>
          <w:rFonts w:hint="eastAsia" w:ascii="仿宋" w:hAnsi="仿宋" w:eastAsia="仿宋" w:cs="仿宋"/>
          <w:color w:val="auto"/>
          <w:sz w:val="32"/>
          <w:szCs w:val="32"/>
          <w:lang w:val="en-US" w:eastAsia="zh-CN" w:bidi="ar-SA"/>
        </w:rPr>
      </w:pPr>
      <w:r>
        <w:rPr>
          <w:rFonts w:hint="eastAsia" w:ascii="仿宋" w:hAnsi="仿宋" w:eastAsia="仿宋" w:cs="仿宋"/>
          <w:color w:val="auto"/>
          <w:sz w:val="32"/>
          <w:szCs w:val="32"/>
          <w:lang w:val="en-US" w:eastAsia="zh-CN" w:bidi="ar-SA"/>
        </w:rPr>
        <w:t>第五章评审方法及评审标准</w:t>
      </w:r>
      <w:bookmarkEnd w:id="1"/>
      <w:bookmarkEnd w:id="92"/>
    </w:p>
    <w:p w14:paraId="66F46DFD">
      <w:pPr>
        <w:pStyle w:val="237"/>
        <w:ind w:firstLine="422"/>
        <w:rPr>
          <w:rFonts w:hint="eastAsia" w:ascii="仿宋" w:hAnsi="仿宋" w:eastAsia="仿宋" w:cs="仿宋"/>
          <w:b/>
          <w:color w:val="auto"/>
          <w:sz w:val="21"/>
          <w:szCs w:val="21"/>
        </w:rPr>
      </w:pPr>
      <w:r>
        <w:rPr>
          <w:rFonts w:hint="eastAsia" w:ascii="仿宋" w:hAnsi="仿宋" w:eastAsia="仿宋" w:cs="仿宋"/>
          <w:b/>
          <w:color w:val="auto"/>
          <w:sz w:val="21"/>
          <w:szCs w:val="21"/>
        </w:rPr>
        <w:t>一、评审方法</w:t>
      </w:r>
    </w:p>
    <w:p w14:paraId="0242F2AC">
      <w:pPr>
        <w:spacing w:line="360" w:lineRule="auto"/>
        <w:ind w:firstLine="420"/>
        <w:rPr>
          <w:rFonts w:hint="eastAsia" w:ascii="仿宋" w:hAnsi="仿宋" w:eastAsia="仿宋" w:cs="仿宋"/>
          <w:color w:val="auto"/>
          <w:szCs w:val="21"/>
        </w:rPr>
      </w:pPr>
      <w:r>
        <w:rPr>
          <w:rFonts w:hint="eastAsia" w:ascii="仿宋" w:hAnsi="仿宋" w:eastAsia="仿宋" w:cs="仿宋"/>
          <w:color w:val="auto"/>
          <w:szCs w:val="21"/>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1DF4EA6E">
      <w:pPr>
        <w:spacing w:line="360" w:lineRule="auto"/>
        <w:ind w:firstLine="422"/>
        <w:rPr>
          <w:rFonts w:hint="eastAsia" w:ascii="仿宋" w:hAnsi="仿宋" w:eastAsia="仿宋" w:cs="仿宋"/>
          <w:b/>
          <w:color w:val="auto"/>
          <w:szCs w:val="21"/>
        </w:rPr>
      </w:pPr>
      <w:bookmarkStart w:id="94" w:name="_Toc449016388"/>
      <w:bookmarkStart w:id="95" w:name="_Toc449017024"/>
      <w:r>
        <w:rPr>
          <w:rFonts w:hint="eastAsia" w:ascii="仿宋" w:hAnsi="仿宋" w:eastAsia="仿宋" w:cs="仿宋"/>
          <w:b/>
          <w:color w:val="auto"/>
          <w:szCs w:val="21"/>
        </w:rPr>
        <w:t>二、政府采购政策功能落实</w:t>
      </w:r>
      <w:bookmarkEnd w:id="94"/>
      <w:bookmarkEnd w:id="95"/>
    </w:p>
    <w:p w14:paraId="4C74FADA">
      <w:pPr>
        <w:spacing w:line="360" w:lineRule="auto"/>
        <w:ind w:firstLine="420"/>
        <w:rPr>
          <w:rFonts w:hint="eastAsia" w:ascii="仿宋" w:hAnsi="仿宋" w:eastAsia="仿宋" w:cs="仿宋"/>
          <w:b/>
          <w:color w:val="auto"/>
          <w:szCs w:val="21"/>
        </w:rPr>
      </w:pPr>
      <w:r>
        <w:rPr>
          <w:rFonts w:hint="eastAsia" w:ascii="仿宋" w:hAnsi="仿宋" w:eastAsia="仿宋" w:cs="仿宋"/>
          <w:color w:val="auto"/>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0D14E313">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1、小微型企业价格扣除</w:t>
      </w:r>
    </w:p>
    <w:p w14:paraId="0AB78989">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（1）本项目对小型和微型企业产品给予</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0%的扣除价格，用扣除后的价格参与评审。</w:t>
      </w:r>
    </w:p>
    <w:p w14:paraId="4AFC340C">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（2）供应商需按照采购文件的要求提供相应的《企业声明函》。</w:t>
      </w:r>
    </w:p>
    <w:p w14:paraId="1A52ACF6">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2、残疾人福利单位价格扣除</w:t>
      </w:r>
    </w:p>
    <w:p w14:paraId="799CC571">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（1）本项目对残疾人福利性单位视同小型、微型企业，给予</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0%的价格扣除，用扣除后的价格参与评审。</w:t>
      </w:r>
    </w:p>
    <w:p w14:paraId="389B0DFE">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（2）残疾人福利单位需按照采购文件的要求提供《残疾人福利性单位声明函》。</w:t>
      </w:r>
    </w:p>
    <w:p w14:paraId="6F4BFA14">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（3）残疾人福利单位标准请参照《关于促进残疾人就业政府采购政策的通知》（财库〔2017〕141号）。</w:t>
      </w:r>
    </w:p>
    <w:p w14:paraId="03710722">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3、监狱和戒毒企业价格扣除</w:t>
      </w:r>
    </w:p>
    <w:p w14:paraId="1082DF94">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（1）本项目对监狱和戒毒企业（简称监狱企业）视同小型、微型企业，给予</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0%的价格扣除，用扣除后的价格参与评审。</w:t>
      </w:r>
    </w:p>
    <w:p w14:paraId="02918071">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6B45B7FA">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（3）监狱企业标准请参照《关于政府采购支持监狱企业发展有关问题的通知》（财库[2014]68号）。</w:t>
      </w:r>
    </w:p>
    <w:p w14:paraId="21612009">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4、残疾人福利单位、监狱企业属于小型、微型企业的，不重复享受政策。</w:t>
      </w:r>
    </w:p>
    <w:p w14:paraId="41817AF1">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5F5B8396">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6、联合体各方均为小型、微型企业（残疾人福利单位、监狱企业）的，联合体享受</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0%价格扣除，用扣除后的价格参与评审。</w:t>
      </w:r>
    </w:p>
    <w:p w14:paraId="54E6DDE9">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7、大中型企业向小型、微型企业分包的，分包意向协议约定小型、微型企业合同份额占到合同总金额30%以上的，给予</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%的价格扣除，用扣除后的价格参与评审。</w:t>
      </w:r>
    </w:p>
    <w:p w14:paraId="6F89C216">
      <w:pPr>
        <w:pStyle w:val="237"/>
        <w:ind w:left="15" w:leftChars="7" w:firstLine="403" w:firstLineChars="192"/>
        <w:rPr>
          <w:rFonts w:hint="eastAsia" w:ascii="仿宋" w:hAnsi="仿宋" w:eastAsia="仿宋" w:cs="仿宋"/>
          <w:color w:val="auto"/>
          <w:sz w:val="21"/>
          <w:szCs w:val="21"/>
        </w:rPr>
      </w:pPr>
      <w:r>
        <w:rPr>
          <w:rFonts w:hint="eastAsia" w:ascii="仿宋" w:hAnsi="仿宋" w:eastAsia="仿宋" w:cs="仿宋"/>
          <w:color w:val="auto"/>
          <w:sz w:val="21"/>
          <w:szCs w:val="21"/>
        </w:rPr>
        <w:t>三、评标标准</w:t>
      </w:r>
    </w:p>
    <w:tbl>
      <w:tblPr>
        <w:tblStyle w:val="40"/>
        <w:tblW w:w="104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9"/>
        <w:gridCol w:w="1298"/>
        <w:gridCol w:w="1333"/>
        <w:gridCol w:w="1192"/>
        <w:gridCol w:w="6085"/>
      </w:tblGrid>
      <w:tr w14:paraId="78D83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blHeader/>
          <w:jc w:val="center"/>
        </w:trPr>
        <w:tc>
          <w:tcPr>
            <w:tcW w:w="519" w:type="dxa"/>
            <w:tcBorders>
              <w:top w:val="single" w:color="auto" w:sz="4" w:space="0"/>
              <w:left w:val="single" w:color="auto" w:sz="4" w:space="0"/>
              <w:bottom w:val="single" w:color="auto" w:sz="4" w:space="0"/>
              <w:right w:val="single" w:color="auto" w:sz="4" w:space="0"/>
            </w:tcBorders>
            <w:noWrap w:val="0"/>
            <w:vAlign w:val="top"/>
          </w:tcPr>
          <w:p w14:paraId="3358C574">
            <w:pPr>
              <w:jc w:val="center"/>
              <w:rPr>
                <w:rFonts w:hint="eastAsia" w:ascii="仿宋" w:hAnsi="仿宋" w:eastAsia="仿宋" w:cs="仿宋"/>
                <w:sz w:val="21"/>
                <w:szCs w:val="21"/>
              </w:rPr>
            </w:pPr>
            <w:r>
              <w:rPr>
                <w:rFonts w:hint="eastAsia" w:ascii="仿宋" w:hAnsi="仿宋" w:eastAsia="仿宋" w:cs="仿宋"/>
                <w:sz w:val="21"/>
                <w:szCs w:val="21"/>
              </w:rPr>
              <w:t>序号</w:t>
            </w:r>
          </w:p>
        </w:tc>
        <w:tc>
          <w:tcPr>
            <w:tcW w:w="2631" w:type="dxa"/>
            <w:gridSpan w:val="2"/>
            <w:tcBorders>
              <w:top w:val="single" w:color="auto" w:sz="4" w:space="0"/>
              <w:left w:val="single" w:color="auto" w:sz="4" w:space="0"/>
              <w:bottom w:val="single" w:color="auto" w:sz="4" w:space="0"/>
              <w:right w:val="single" w:color="auto" w:sz="4" w:space="0"/>
            </w:tcBorders>
            <w:noWrap w:val="0"/>
            <w:vAlign w:val="center"/>
          </w:tcPr>
          <w:p w14:paraId="471B44AE">
            <w:pPr>
              <w:jc w:val="center"/>
              <w:rPr>
                <w:rFonts w:hint="eastAsia" w:ascii="仿宋" w:hAnsi="仿宋" w:eastAsia="仿宋" w:cs="仿宋"/>
                <w:sz w:val="21"/>
                <w:szCs w:val="21"/>
              </w:rPr>
            </w:pPr>
            <w:r>
              <w:rPr>
                <w:rFonts w:hint="eastAsia" w:ascii="仿宋" w:hAnsi="仿宋" w:eastAsia="仿宋" w:cs="仿宋"/>
                <w:sz w:val="21"/>
                <w:szCs w:val="21"/>
              </w:rPr>
              <w:t>评分因素</w:t>
            </w:r>
          </w:p>
        </w:tc>
        <w:tc>
          <w:tcPr>
            <w:tcW w:w="7277" w:type="dxa"/>
            <w:gridSpan w:val="2"/>
            <w:tcBorders>
              <w:top w:val="single" w:color="auto" w:sz="4" w:space="0"/>
              <w:left w:val="single" w:color="auto" w:sz="4" w:space="0"/>
              <w:bottom w:val="single" w:color="auto" w:sz="4" w:space="0"/>
              <w:right w:val="single" w:color="auto" w:sz="4" w:space="0"/>
            </w:tcBorders>
            <w:noWrap w:val="0"/>
            <w:vAlign w:val="center"/>
          </w:tcPr>
          <w:p w14:paraId="483C0821">
            <w:pPr>
              <w:ind w:firstLine="2940" w:firstLineChars="1400"/>
              <w:rPr>
                <w:rFonts w:hint="eastAsia" w:ascii="仿宋" w:hAnsi="仿宋" w:eastAsia="仿宋" w:cs="仿宋"/>
                <w:sz w:val="21"/>
                <w:szCs w:val="21"/>
              </w:rPr>
            </w:pPr>
            <w:r>
              <w:rPr>
                <w:rFonts w:hint="eastAsia" w:ascii="仿宋" w:hAnsi="仿宋" w:eastAsia="仿宋" w:cs="仿宋"/>
                <w:sz w:val="21"/>
                <w:szCs w:val="21"/>
              </w:rPr>
              <w:t>评分标准</w:t>
            </w:r>
          </w:p>
        </w:tc>
      </w:tr>
      <w:tr w14:paraId="0380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blHeader/>
          <w:jc w:val="center"/>
        </w:trPr>
        <w:tc>
          <w:tcPr>
            <w:tcW w:w="519" w:type="dxa"/>
            <w:tcBorders>
              <w:top w:val="single" w:color="auto" w:sz="4" w:space="0"/>
              <w:left w:val="single" w:color="auto" w:sz="4" w:space="0"/>
              <w:right w:val="single" w:color="auto" w:sz="4" w:space="0"/>
            </w:tcBorders>
            <w:noWrap w:val="0"/>
            <w:vAlign w:val="center"/>
          </w:tcPr>
          <w:p w14:paraId="1B444D30">
            <w:pPr>
              <w:jc w:val="center"/>
              <w:rPr>
                <w:rFonts w:hint="eastAsia" w:ascii="仿宋" w:hAnsi="仿宋" w:eastAsia="仿宋" w:cs="仿宋"/>
                <w:sz w:val="21"/>
                <w:szCs w:val="21"/>
              </w:rPr>
            </w:pPr>
            <w:r>
              <w:rPr>
                <w:rFonts w:hint="eastAsia" w:ascii="仿宋" w:hAnsi="仿宋" w:eastAsia="仿宋" w:cs="仿宋"/>
                <w:sz w:val="21"/>
                <w:szCs w:val="21"/>
              </w:rPr>
              <w:t>一</w:t>
            </w:r>
          </w:p>
        </w:tc>
        <w:tc>
          <w:tcPr>
            <w:tcW w:w="2631" w:type="dxa"/>
            <w:gridSpan w:val="2"/>
            <w:tcBorders>
              <w:left w:val="single" w:color="auto" w:sz="4" w:space="0"/>
              <w:right w:val="single" w:color="auto" w:sz="4" w:space="0"/>
            </w:tcBorders>
            <w:noWrap w:val="0"/>
            <w:vAlign w:val="center"/>
          </w:tcPr>
          <w:p w14:paraId="6603D510">
            <w:pPr>
              <w:jc w:val="center"/>
              <w:rPr>
                <w:rFonts w:hint="eastAsia" w:ascii="仿宋" w:hAnsi="仿宋" w:eastAsia="仿宋" w:cs="仿宋"/>
                <w:sz w:val="21"/>
                <w:szCs w:val="21"/>
              </w:rPr>
            </w:pPr>
            <w:r>
              <w:rPr>
                <w:rFonts w:hint="eastAsia" w:ascii="仿宋" w:hAnsi="仿宋" w:eastAsia="仿宋" w:cs="仿宋"/>
                <w:sz w:val="21"/>
                <w:szCs w:val="21"/>
              </w:rPr>
              <w:t>投标报价</w:t>
            </w:r>
          </w:p>
          <w:p w14:paraId="34CD38A0">
            <w:pPr>
              <w:jc w:val="center"/>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5</w:t>
            </w:r>
            <w:r>
              <w:rPr>
                <w:rFonts w:hint="eastAsia" w:ascii="仿宋" w:hAnsi="仿宋" w:eastAsia="仿宋" w:cs="仿宋"/>
                <w:sz w:val="21"/>
                <w:szCs w:val="21"/>
              </w:rPr>
              <w:t>分）</w:t>
            </w:r>
          </w:p>
        </w:tc>
        <w:tc>
          <w:tcPr>
            <w:tcW w:w="7277" w:type="dxa"/>
            <w:gridSpan w:val="2"/>
            <w:tcBorders>
              <w:top w:val="single" w:color="auto" w:sz="4" w:space="0"/>
              <w:left w:val="single" w:color="auto" w:sz="4" w:space="0"/>
              <w:right w:val="single" w:color="auto" w:sz="4" w:space="0"/>
            </w:tcBorders>
            <w:noWrap w:val="0"/>
            <w:vAlign w:val="center"/>
          </w:tcPr>
          <w:p w14:paraId="15DBB0DD">
            <w:pPr>
              <w:rPr>
                <w:rFonts w:hint="eastAsia" w:ascii="仿宋" w:hAnsi="仿宋" w:eastAsia="仿宋" w:cs="仿宋"/>
                <w:sz w:val="21"/>
                <w:szCs w:val="21"/>
              </w:rPr>
            </w:pPr>
            <w:r>
              <w:rPr>
                <w:rFonts w:hint="eastAsia" w:ascii="仿宋" w:hAnsi="仿宋" w:eastAsia="仿宋" w:cs="仿宋"/>
                <w:sz w:val="21"/>
                <w:szCs w:val="21"/>
              </w:rPr>
              <w:t>满足招标文件要求且投标价格最低的有效投标报价为评标基准价，其价格分为满分。其他投标人的价格分统一按照下列公式计算：</w:t>
            </w:r>
          </w:p>
          <w:p w14:paraId="4EFDDE41">
            <w:pPr>
              <w:rPr>
                <w:rFonts w:hint="eastAsia" w:ascii="仿宋" w:hAnsi="仿宋" w:eastAsia="仿宋" w:cs="仿宋"/>
                <w:sz w:val="21"/>
                <w:szCs w:val="21"/>
              </w:rPr>
            </w:pPr>
            <w:r>
              <w:rPr>
                <w:rFonts w:hint="eastAsia" w:ascii="仿宋" w:hAnsi="仿宋" w:eastAsia="仿宋" w:cs="仿宋"/>
                <w:sz w:val="21"/>
                <w:szCs w:val="21"/>
              </w:rPr>
              <w:t>投标报价得分=(评标基准价／投标报价)×1</w:t>
            </w:r>
            <w:r>
              <w:rPr>
                <w:rFonts w:hint="eastAsia" w:ascii="仿宋" w:hAnsi="仿宋" w:eastAsia="仿宋" w:cs="仿宋"/>
                <w:sz w:val="21"/>
                <w:szCs w:val="21"/>
                <w:lang w:val="en-US" w:eastAsia="zh-CN"/>
              </w:rPr>
              <w:t>5</w:t>
            </w:r>
            <w:r>
              <w:rPr>
                <w:rFonts w:hint="eastAsia" w:ascii="仿宋" w:hAnsi="仿宋" w:eastAsia="仿宋" w:cs="仿宋"/>
                <w:sz w:val="21"/>
                <w:szCs w:val="21"/>
              </w:rPr>
              <w:t>。（小数点保留两位）</w:t>
            </w:r>
          </w:p>
        </w:tc>
      </w:tr>
      <w:tr w14:paraId="208DD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1" w:hRule="atLeast"/>
          <w:tblHeader/>
          <w:jc w:val="center"/>
        </w:trPr>
        <w:tc>
          <w:tcPr>
            <w:tcW w:w="519" w:type="dxa"/>
            <w:vMerge w:val="restart"/>
            <w:tcBorders>
              <w:left w:val="single" w:color="auto" w:sz="4" w:space="0"/>
              <w:right w:val="single" w:color="auto" w:sz="4" w:space="0"/>
            </w:tcBorders>
            <w:noWrap w:val="0"/>
            <w:vAlign w:val="center"/>
          </w:tcPr>
          <w:p w14:paraId="1F1029C0">
            <w:pPr>
              <w:jc w:val="center"/>
              <w:rPr>
                <w:rFonts w:hint="eastAsia" w:ascii="仿宋" w:hAnsi="仿宋" w:eastAsia="仿宋" w:cs="仿宋"/>
                <w:sz w:val="21"/>
                <w:szCs w:val="21"/>
              </w:rPr>
            </w:pPr>
            <w:r>
              <w:rPr>
                <w:rFonts w:hint="eastAsia" w:ascii="仿宋" w:hAnsi="仿宋" w:eastAsia="仿宋" w:cs="仿宋"/>
                <w:sz w:val="21"/>
                <w:szCs w:val="21"/>
              </w:rPr>
              <w:t>二</w:t>
            </w:r>
          </w:p>
        </w:tc>
        <w:tc>
          <w:tcPr>
            <w:tcW w:w="1298" w:type="dxa"/>
            <w:vMerge w:val="restart"/>
            <w:tcBorders>
              <w:left w:val="single" w:color="auto" w:sz="4" w:space="0"/>
              <w:right w:val="single" w:color="auto" w:sz="4" w:space="0"/>
            </w:tcBorders>
            <w:noWrap w:val="0"/>
            <w:vAlign w:val="center"/>
          </w:tcPr>
          <w:p w14:paraId="5D7AA534">
            <w:pPr>
              <w:jc w:val="center"/>
              <w:rPr>
                <w:rFonts w:hint="eastAsia" w:ascii="仿宋" w:hAnsi="仿宋" w:eastAsia="仿宋" w:cs="仿宋"/>
                <w:sz w:val="21"/>
                <w:szCs w:val="21"/>
              </w:rPr>
            </w:pPr>
            <w:r>
              <w:rPr>
                <w:rFonts w:hint="eastAsia" w:ascii="仿宋" w:hAnsi="仿宋" w:eastAsia="仿宋" w:cs="仿宋"/>
                <w:sz w:val="21"/>
                <w:szCs w:val="21"/>
              </w:rPr>
              <w:t>技术部分</w:t>
            </w:r>
          </w:p>
          <w:p w14:paraId="5D0C8E75">
            <w:pPr>
              <w:jc w:val="center"/>
              <w:rPr>
                <w:rFonts w:hint="eastAsia" w:ascii="仿宋" w:hAnsi="仿宋" w:eastAsia="仿宋" w:cs="仿宋"/>
                <w:sz w:val="21"/>
                <w:szCs w:val="21"/>
              </w:rPr>
            </w:pPr>
            <w:r>
              <w:rPr>
                <w:rFonts w:hint="eastAsia" w:ascii="仿宋" w:hAnsi="仿宋" w:eastAsia="仿宋" w:cs="仿宋"/>
                <w:sz w:val="21"/>
                <w:szCs w:val="21"/>
                <w:lang w:val="en-US" w:eastAsia="zh-CN"/>
              </w:rPr>
              <w:t>（57</w:t>
            </w:r>
            <w:r>
              <w:rPr>
                <w:rFonts w:hint="eastAsia" w:ascii="仿宋" w:hAnsi="仿宋" w:eastAsia="仿宋" w:cs="仿宋"/>
                <w:sz w:val="21"/>
                <w:szCs w:val="21"/>
              </w:rPr>
              <w:t>分）</w:t>
            </w:r>
          </w:p>
        </w:tc>
        <w:tc>
          <w:tcPr>
            <w:tcW w:w="1333" w:type="dxa"/>
            <w:tcBorders>
              <w:left w:val="single" w:color="auto" w:sz="4" w:space="0"/>
              <w:right w:val="single" w:color="auto" w:sz="4" w:space="0"/>
            </w:tcBorders>
            <w:noWrap w:val="0"/>
            <w:vAlign w:val="center"/>
          </w:tcPr>
          <w:p w14:paraId="13486616">
            <w:pPr>
              <w:jc w:val="center"/>
              <w:rPr>
                <w:rFonts w:hint="eastAsia" w:ascii="仿宋" w:hAnsi="仿宋" w:eastAsia="仿宋" w:cs="仿宋"/>
                <w:sz w:val="21"/>
                <w:szCs w:val="21"/>
              </w:rPr>
            </w:pPr>
            <w:r>
              <w:rPr>
                <w:rFonts w:hint="eastAsia" w:ascii="仿宋" w:hAnsi="仿宋" w:eastAsia="仿宋" w:cs="仿宋"/>
                <w:sz w:val="21"/>
                <w:szCs w:val="21"/>
              </w:rPr>
              <w:t>项目实施</w:t>
            </w:r>
          </w:p>
          <w:p w14:paraId="271B584B">
            <w:pPr>
              <w:jc w:val="center"/>
              <w:rPr>
                <w:rFonts w:hint="eastAsia" w:ascii="仿宋" w:hAnsi="仿宋" w:eastAsia="仿宋" w:cs="仿宋"/>
                <w:sz w:val="21"/>
                <w:szCs w:val="21"/>
              </w:rPr>
            </w:pPr>
            <w:r>
              <w:rPr>
                <w:rFonts w:hint="eastAsia" w:ascii="仿宋" w:hAnsi="仿宋" w:eastAsia="仿宋" w:cs="仿宋"/>
                <w:sz w:val="21"/>
                <w:szCs w:val="21"/>
              </w:rPr>
              <w:t>方案</w:t>
            </w:r>
          </w:p>
          <w:p w14:paraId="337E05F2">
            <w:pPr>
              <w:jc w:val="center"/>
              <w:rPr>
                <w:rFonts w:hint="eastAsia" w:ascii="仿宋" w:hAnsi="仿宋" w:eastAsia="仿宋" w:cs="仿宋"/>
                <w:sz w:val="21"/>
                <w:szCs w:val="21"/>
              </w:rPr>
            </w:pPr>
            <w:r>
              <w:rPr>
                <w:rFonts w:hint="eastAsia" w:ascii="仿宋" w:hAnsi="仿宋" w:eastAsia="仿宋" w:cs="仿宋"/>
                <w:sz w:val="21"/>
                <w:szCs w:val="21"/>
              </w:rPr>
              <w:t>（</w:t>
            </w:r>
            <w:r>
              <w:rPr>
                <w:rFonts w:hint="eastAsia" w:ascii="仿宋" w:hAnsi="仿宋" w:eastAsia="仿宋" w:cs="仿宋"/>
                <w:sz w:val="21"/>
                <w:szCs w:val="21"/>
                <w:lang w:val="en-US" w:eastAsia="zh-CN"/>
              </w:rPr>
              <w:t>10</w:t>
            </w:r>
            <w:r>
              <w:rPr>
                <w:rFonts w:hint="eastAsia" w:ascii="仿宋" w:hAnsi="仿宋" w:eastAsia="仿宋" w:cs="仿宋"/>
                <w:sz w:val="21"/>
                <w:szCs w:val="21"/>
              </w:rPr>
              <w:t>分）</w:t>
            </w:r>
          </w:p>
        </w:tc>
        <w:tc>
          <w:tcPr>
            <w:tcW w:w="7277" w:type="dxa"/>
            <w:gridSpan w:val="2"/>
            <w:tcBorders>
              <w:top w:val="single" w:color="auto" w:sz="4" w:space="0"/>
              <w:left w:val="single" w:color="auto" w:sz="4" w:space="0"/>
              <w:right w:val="single" w:color="auto" w:sz="4" w:space="0"/>
            </w:tcBorders>
            <w:noWrap w:val="0"/>
            <w:vAlign w:val="center"/>
          </w:tcPr>
          <w:p w14:paraId="7AD478CF">
            <w:pPr>
              <w:rPr>
                <w:rFonts w:hint="eastAsia" w:ascii="仿宋" w:hAnsi="仿宋" w:eastAsia="仿宋" w:cs="仿宋"/>
                <w:sz w:val="21"/>
                <w:szCs w:val="21"/>
              </w:rPr>
            </w:pPr>
            <w:r>
              <w:rPr>
                <w:rFonts w:hint="eastAsia" w:ascii="仿宋" w:hAnsi="仿宋" w:eastAsia="仿宋" w:cs="仿宋"/>
                <w:sz w:val="21"/>
                <w:szCs w:val="21"/>
                <w:lang w:val="en-US" w:eastAsia="zh-CN"/>
              </w:rPr>
              <w:t>项目实施方案的内容包含：</w:t>
            </w:r>
            <w:r>
              <w:rPr>
                <w:rFonts w:hint="eastAsia" w:ascii="仿宋" w:hAnsi="仿宋" w:eastAsia="仿宋" w:cs="仿宋"/>
                <w:sz w:val="21"/>
                <w:szCs w:val="21"/>
              </w:rPr>
              <w:t>项目背景与目标（含现状问题、建设目标）、现状调研与数据分析（含交通流特征、信号灯设置现状、问题诊断）、总体设计（含设计原则、技术路线、系统架构）、规范设置方案（含位置、相位、灯色、倒计时器、标志标线协同等设置标准）、配时优化方案（含单点配时、干线协调、区域协调策略，分时段/特殊场景配时设计）、实施步骤（准备、设计、试点、推广、验收阶段）、技术保障（硬件选型、软件系统、人员培训）、效果评估（评估指标、方法、周期）、保障措施（组织、资金、运维、应急预案）、法律法规依据与风险应对。</w:t>
            </w:r>
          </w:p>
          <w:p w14:paraId="07DD1883">
            <w:pPr>
              <w:rPr>
                <w:rFonts w:hint="eastAsia" w:ascii="仿宋" w:hAnsi="仿宋" w:eastAsia="仿宋" w:cs="仿宋"/>
                <w:sz w:val="21"/>
                <w:szCs w:val="21"/>
                <w:lang w:eastAsia="zh-CN"/>
              </w:rPr>
            </w:pPr>
            <w:r>
              <w:rPr>
                <w:rFonts w:hint="eastAsia" w:ascii="仿宋" w:hAnsi="仿宋" w:eastAsia="仿宋" w:cs="仿宋"/>
                <w:sz w:val="21"/>
                <w:szCs w:val="21"/>
                <w:lang w:val="en-US" w:eastAsia="zh-CN"/>
              </w:rPr>
              <w:t>内容</w:t>
            </w:r>
            <w:r>
              <w:rPr>
                <w:rFonts w:hint="eastAsia" w:ascii="仿宋" w:hAnsi="仿宋" w:eastAsia="仿宋" w:cs="仿宋"/>
                <w:sz w:val="21"/>
                <w:szCs w:val="21"/>
                <w:lang w:eastAsia="zh-CN"/>
              </w:rPr>
              <w:t>详细完整，</w:t>
            </w:r>
            <w:r>
              <w:rPr>
                <w:rFonts w:hint="eastAsia" w:ascii="仿宋" w:hAnsi="仿宋" w:eastAsia="仿宋" w:cs="仿宋"/>
                <w:sz w:val="21"/>
                <w:szCs w:val="21"/>
                <w:lang w:val="zh-TW" w:eastAsia="zh-TW"/>
              </w:rPr>
              <w:t>科学合理可行，符合项目特点及要求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eastAsia="zh-CN"/>
              </w:rPr>
              <w:t>优于采购文件要求的得1</w:t>
            </w:r>
            <w:r>
              <w:rPr>
                <w:rFonts w:hint="eastAsia" w:ascii="仿宋" w:hAnsi="仿宋" w:eastAsia="仿宋" w:cs="仿宋"/>
                <w:sz w:val="21"/>
                <w:szCs w:val="21"/>
                <w:lang w:val="en-US" w:eastAsia="zh-CN"/>
              </w:rPr>
              <w:t>0</w:t>
            </w:r>
            <w:r>
              <w:rPr>
                <w:rFonts w:hint="eastAsia" w:ascii="仿宋" w:hAnsi="仿宋" w:eastAsia="仿宋" w:cs="仿宋"/>
                <w:sz w:val="21"/>
                <w:szCs w:val="21"/>
                <w:lang w:eastAsia="zh-CN"/>
              </w:rPr>
              <w:t>分；</w:t>
            </w:r>
          </w:p>
          <w:p w14:paraId="7990745F">
            <w:pPr>
              <w:rPr>
                <w:rFonts w:hint="eastAsia" w:ascii="仿宋" w:hAnsi="仿宋" w:eastAsia="仿宋" w:cs="仿宋"/>
                <w:sz w:val="21"/>
                <w:szCs w:val="21"/>
                <w:lang w:eastAsia="zh-CN"/>
              </w:rPr>
            </w:pPr>
            <w:r>
              <w:rPr>
                <w:rFonts w:hint="eastAsia" w:ascii="仿宋" w:hAnsi="仿宋" w:eastAsia="仿宋" w:cs="仿宋"/>
                <w:sz w:val="21"/>
                <w:szCs w:val="21"/>
                <w:lang w:val="en-US" w:eastAsia="zh-CN"/>
              </w:rPr>
              <w:t>内容</w:t>
            </w:r>
            <w:r>
              <w:rPr>
                <w:rFonts w:hint="eastAsia" w:ascii="仿宋" w:hAnsi="仿宋" w:eastAsia="仿宋" w:cs="仿宋"/>
                <w:sz w:val="21"/>
                <w:szCs w:val="21"/>
                <w:lang w:eastAsia="zh-CN"/>
              </w:rPr>
              <w:t>较全面，较</w:t>
            </w:r>
            <w:r>
              <w:rPr>
                <w:rFonts w:hint="eastAsia" w:ascii="仿宋" w:hAnsi="仿宋" w:eastAsia="仿宋" w:cs="仿宋"/>
                <w:sz w:val="21"/>
                <w:szCs w:val="21"/>
                <w:lang w:val="zh-TW" w:eastAsia="zh-TW"/>
              </w:rPr>
              <w:t>合理，</w:t>
            </w:r>
            <w:r>
              <w:rPr>
                <w:rFonts w:hint="eastAsia" w:ascii="仿宋" w:hAnsi="仿宋" w:eastAsia="仿宋" w:cs="仿宋"/>
                <w:sz w:val="21"/>
                <w:szCs w:val="21"/>
                <w:lang w:val="en-US" w:eastAsia="zh-CN"/>
              </w:rPr>
              <w:t>能够满足</w:t>
            </w:r>
            <w:r>
              <w:rPr>
                <w:rFonts w:hint="eastAsia" w:ascii="仿宋" w:hAnsi="仿宋" w:eastAsia="仿宋" w:cs="仿宋"/>
                <w:sz w:val="21"/>
                <w:szCs w:val="21"/>
                <w:lang w:val="zh-TW" w:eastAsia="zh-TW"/>
              </w:rPr>
              <w:t>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eastAsia="zh-CN"/>
              </w:rPr>
              <w:t>或漏缺1-</w:t>
            </w:r>
            <w:r>
              <w:rPr>
                <w:rFonts w:hint="eastAsia" w:ascii="仿宋" w:hAnsi="仿宋" w:eastAsia="仿宋" w:cs="仿宋"/>
                <w:sz w:val="21"/>
                <w:szCs w:val="21"/>
                <w:lang w:val="en-US" w:eastAsia="zh-CN"/>
              </w:rPr>
              <w:t>2</w:t>
            </w:r>
            <w:r>
              <w:rPr>
                <w:rFonts w:hint="eastAsia" w:ascii="仿宋" w:hAnsi="仿宋" w:eastAsia="仿宋" w:cs="仿宋"/>
                <w:sz w:val="21"/>
                <w:szCs w:val="21"/>
                <w:lang w:eastAsia="zh-CN"/>
              </w:rPr>
              <w:t>项的得8分；</w:t>
            </w:r>
          </w:p>
          <w:p w14:paraId="043BCCB6">
            <w:pPr>
              <w:rPr>
                <w:rFonts w:hint="eastAsia" w:ascii="仿宋" w:hAnsi="仿宋" w:eastAsia="仿宋" w:cs="仿宋"/>
                <w:sz w:val="21"/>
                <w:szCs w:val="21"/>
                <w:lang w:eastAsia="zh-CN"/>
              </w:rPr>
            </w:pPr>
            <w:r>
              <w:rPr>
                <w:rFonts w:hint="eastAsia" w:ascii="仿宋" w:hAnsi="仿宋" w:eastAsia="仿宋" w:cs="仿宋"/>
                <w:sz w:val="21"/>
                <w:szCs w:val="21"/>
                <w:lang w:val="en-US" w:eastAsia="zh-CN"/>
              </w:rPr>
              <w:t>内容基本</w:t>
            </w:r>
            <w:r>
              <w:rPr>
                <w:rFonts w:hint="eastAsia" w:ascii="仿宋" w:hAnsi="仿宋" w:eastAsia="仿宋" w:cs="仿宋"/>
                <w:sz w:val="21"/>
                <w:szCs w:val="21"/>
                <w:lang w:eastAsia="zh-CN"/>
              </w:rPr>
              <w:t>全面，基本</w:t>
            </w:r>
            <w:r>
              <w:rPr>
                <w:rFonts w:hint="eastAsia" w:ascii="仿宋" w:hAnsi="仿宋" w:eastAsia="仿宋" w:cs="仿宋"/>
                <w:sz w:val="21"/>
                <w:szCs w:val="21"/>
                <w:lang w:val="zh-TW" w:eastAsia="zh-TW"/>
              </w:rPr>
              <w:t>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eastAsia="zh-CN"/>
              </w:rPr>
              <w:t>或漏缺</w:t>
            </w:r>
            <w:r>
              <w:rPr>
                <w:rFonts w:hint="eastAsia" w:ascii="仿宋" w:hAnsi="仿宋" w:eastAsia="仿宋" w:cs="仿宋"/>
                <w:sz w:val="21"/>
                <w:szCs w:val="21"/>
                <w:lang w:val="en-US" w:eastAsia="zh-CN"/>
              </w:rPr>
              <w:t>3</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4</w:t>
            </w:r>
            <w:r>
              <w:rPr>
                <w:rFonts w:hint="eastAsia" w:ascii="仿宋" w:hAnsi="仿宋" w:eastAsia="仿宋" w:cs="仿宋"/>
                <w:sz w:val="21"/>
                <w:szCs w:val="21"/>
                <w:lang w:eastAsia="zh-CN"/>
              </w:rPr>
              <w:t>项的得</w:t>
            </w:r>
            <w:r>
              <w:rPr>
                <w:rFonts w:hint="eastAsia" w:ascii="仿宋" w:hAnsi="仿宋" w:eastAsia="仿宋" w:cs="仿宋"/>
                <w:sz w:val="21"/>
                <w:szCs w:val="21"/>
                <w:lang w:val="en-US" w:eastAsia="zh-CN"/>
              </w:rPr>
              <w:t>6</w:t>
            </w:r>
            <w:r>
              <w:rPr>
                <w:rFonts w:hint="eastAsia" w:ascii="仿宋" w:hAnsi="仿宋" w:eastAsia="仿宋" w:cs="仿宋"/>
                <w:sz w:val="21"/>
                <w:szCs w:val="21"/>
                <w:lang w:eastAsia="zh-CN"/>
              </w:rPr>
              <w:t>分；</w:t>
            </w:r>
          </w:p>
          <w:p w14:paraId="5B86D8B5">
            <w:pPr>
              <w:rPr>
                <w:rFonts w:hint="eastAsia" w:ascii="仿宋" w:hAnsi="仿宋" w:eastAsia="仿宋" w:cs="仿宋"/>
                <w:sz w:val="21"/>
                <w:szCs w:val="21"/>
              </w:rPr>
            </w:pPr>
            <w:r>
              <w:rPr>
                <w:rFonts w:hint="eastAsia" w:ascii="仿宋" w:hAnsi="仿宋" w:eastAsia="仿宋" w:cs="仿宋"/>
                <w:sz w:val="21"/>
                <w:szCs w:val="21"/>
                <w:lang w:eastAsia="zh-CN"/>
              </w:rPr>
              <w:t>具有明显不合理、描述欠缺、存在实施难度或不提供，或漏缺</w:t>
            </w:r>
            <w:r>
              <w:rPr>
                <w:rFonts w:hint="eastAsia" w:ascii="仿宋" w:hAnsi="仿宋" w:eastAsia="仿宋" w:cs="仿宋"/>
                <w:sz w:val="21"/>
                <w:szCs w:val="21"/>
                <w:lang w:val="en-US" w:eastAsia="zh-CN"/>
              </w:rPr>
              <w:t>5</w:t>
            </w:r>
            <w:r>
              <w:rPr>
                <w:rFonts w:hint="eastAsia" w:ascii="仿宋" w:hAnsi="仿宋" w:eastAsia="仿宋" w:cs="仿宋"/>
                <w:sz w:val="21"/>
                <w:szCs w:val="21"/>
                <w:lang w:eastAsia="zh-CN"/>
              </w:rPr>
              <w:t>项及以上的得0分。</w:t>
            </w:r>
          </w:p>
        </w:tc>
      </w:tr>
      <w:tr w14:paraId="23EE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9" w:hRule="atLeast"/>
          <w:tblHeader/>
          <w:jc w:val="center"/>
        </w:trPr>
        <w:tc>
          <w:tcPr>
            <w:tcW w:w="519" w:type="dxa"/>
            <w:vMerge w:val="continue"/>
            <w:tcBorders>
              <w:left w:val="single" w:color="auto" w:sz="4" w:space="0"/>
              <w:right w:val="single" w:color="auto" w:sz="4" w:space="0"/>
            </w:tcBorders>
            <w:noWrap w:val="0"/>
            <w:vAlign w:val="center"/>
          </w:tcPr>
          <w:p w14:paraId="3F63F365">
            <w:pPr>
              <w:jc w:val="center"/>
              <w:rPr>
                <w:rFonts w:hint="eastAsia" w:ascii="仿宋" w:hAnsi="仿宋" w:eastAsia="仿宋" w:cs="仿宋"/>
                <w:sz w:val="21"/>
                <w:szCs w:val="21"/>
              </w:rPr>
            </w:pPr>
          </w:p>
        </w:tc>
        <w:tc>
          <w:tcPr>
            <w:tcW w:w="1298" w:type="dxa"/>
            <w:vMerge w:val="continue"/>
            <w:tcBorders>
              <w:left w:val="single" w:color="auto" w:sz="4" w:space="0"/>
              <w:right w:val="single" w:color="auto" w:sz="4" w:space="0"/>
            </w:tcBorders>
            <w:noWrap w:val="0"/>
            <w:vAlign w:val="center"/>
          </w:tcPr>
          <w:p w14:paraId="4F3C798A">
            <w:pPr>
              <w:jc w:val="center"/>
              <w:rPr>
                <w:rFonts w:hint="eastAsia" w:ascii="仿宋" w:hAnsi="仿宋" w:eastAsia="仿宋" w:cs="仿宋"/>
                <w:sz w:val="21"/>
                <w:szCs w:val="21"/>
              </w:rPr>
            </w:pPr>
          </w:p>
        </w:tc>
        <w:tc>
          <w:tcPr>
            <w:tcW w:w="1333" w:type="dxa"/>
            <w:tcBorders>
              <w:left w:val="single" w:color="auto" w:sz="4" w:space="0"/>
              <w:right w:val="single" w:color="auto" w:sz="4" w:space="0"/>
            </w:tcBorders>
            <w:noWrap w:val="0"/>
            <w:vAlign w:val="center"/>
          </w:tcPr>
          <w:p w14:paraId="2A82A4CC">
            <w:pPr>
              <w:jc w:val="center"/>
              <w:rPr>
                <w:rFonts w:hint="eastAsia" w:ascii="仿宋" w:hAnsi="仿宋" w:eastAsia="仿宋" w:cs="仿宋"/>
                <w:sz w:val="21"/>
                <w:szCs w:val="21"/>
              </w:rPr>
            </w:pPr>
            <w:r>
              <w:rPr>
                <w:rFonts w:hint="eastAsia" w:ascii="仿宋" w:hAnsi="仿宋" w:eastAsia="仿宋" w:cs="仿宋"/>
                <w:sz w:val="21"/>
                <w:szCs w:val="21"/>
              </w:rPr>
              <w:t>现状分析（</w:t>
            </w:r>
            <w:r>
              <w:rPr>
                <w:rFonts w:hint="eastAsia" w:ascii="仿宋" w:hAnsi="仿宋" w:eastAsia="仿宋" w:cs="仿宋"/>
                <w:sz w:val="21"/>
                <w:szCs w:val="21"/>
                <w:lang w:val="en-US" w:eastAsia="zh-CN"/>
              </w:rPr>
              <w:t>8</w:t>
            </w:r>
            <w:r>
              <w:rPr>
                <w:rFonts w:hint="eastAsia" w:ascii="仿宋" w:hAnsi="仿宋" w:eastAsia="仿宋" w:cs="仿宋"/>
                <w:sz w:val="21"/>
                <w:szCs w:val="21"/>
              </w:rPr>
              <w:t>分）</w:t>
            </w:r>
          </w:p>
        </w:tc>
        <w:tc>
          <w:tcPr>
            <w:tcW w:w="7277" w:type="dxa"/>
            <w:gridSpan w:val="2"/>
            <w:tcBorders>
              <w:top w:val="single" w:color="auto" w:sz="4" w:space="0"/>
              <w:left w:val="single" w:color="auto" w:sz="4" w:space="0"/>
              <w:right w:val="single" w:color="auto" w:sz="4" w:space="0"/>
            </w:tcBorders>
            <w:noWrap w:val="0"/>
            <w:vAlign w:val="center"/>
          </w:tcPr>
          <w:p w14:paraId="572DB6FC">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现状分析应包含：现行国家/地方信号灯设置标准（如GB 14886）的完善性与执行度；信号灯物理设置合规性（位置、高度、可见性、数量适配道路等级/交叉口类型）；设备技术水平（传统灯控/智能灯控占比、联网率、故障监测能力）；特殊场景设置（行人/非机动车专用相位、公交优先信号、应急优先机制）的覆盖情况。配时方法应用（定时配时/感应配时/自适应配时的占比与适用性）；数据支撑能力（交通流量/流向/延误数据采集方式（人工统计/线圈/视频检测）、实时数据更新频率、大数据/AI算法应用程度）；配时方案合理性（高峰/平峰/特殊时段差异化配时、绿信比与交通需求匹配度、相邻交叉口协调控制效果）；优化机制（定期评估调整频率、公众意见反馈渠道、跨部门（交管/规划/城管）协同流程）。实施效果与问题：通行效率指标（交叉口平均延误、排队长度、通行能力）现状；安全效益（信号控制相关事故率、冲突点减少效果）；存在问题（标准滞后于交通需求、设备老化/功能单一、配时依赖经验化/数据碎片化、区域差异显著（市中心/郊区、主干道/支路优化不均衡）、与其他交通设施（标志标线、智能诱导系统）协同不足）。影响因素分析：城市交通特征（流量时空分布规律、机动车/非机动车/行人构成比）；道路网络结构（交叉口几何形态、路网密度）；管理体制（多部门权责划分、资金投入力度、技术人员配置）。</w:t>
            </w:r>
          </w:p>
          <w:p w14:paraId="2B602E1F">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内容详细完整，</w:t>
            </w:r>
            <w:r>
              <w:rPr>
                <w:rFonts w:hint="eastAsia" w:ascii="仿宋" w:hAnsi="仿宋" w:eastAsia="仿宋" w:cs="仿宋"/>
                <w:sz w:val="21"/>
                <w:szCs w:val="21"/>
                <w:lang w:val="zh-TW" w:eastAsia="zh-TW"/>
              </w:rPr>
              <w:t>科学合理可行，符合项目特点及要求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优于采购文件要求的得8分；</w:t>
            </w:r>
          </w:p>
          <w:p w14:paraId="4007C2C7">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内容较全面，较</w:t>
            </w:r>
            <w:r>
              <w:rPr>
                <w:rFonts w:hint="eastAsia" w:ascii="仿宋" w:hAnsi="仿宋" w:eastAsia="仿宋" w:cs="仿宋"/>
                <w:sz w:val="21"/>
                <w:szCs w:val="21"/>
                <w:lang w:val="zh-TW" w:eastAsia="zh-TW"/>
              </w:rPr>
              <w:t>合理，</w:t>
            </w:r>
            <w:r>
              <w:rPr>
                <w:rFonts w:hint="eastAsia" w:ascii="仿宋" w:hAnsi="仿宋" w:eastAsia="仿宋" w:cs="仿宋"/>
                <w:sz w:val="21"/>
                <w:szCs w:val="21"/>
                <w:lang w:val="en-US" w:eastAsia="zh-CN"/>
              </w:rPr>
              <w:t>能够满足</w:t>
            </w:r>
            <w:r>
              <w:rPr>
                <w:rFonts w:hint="eastAsia" w:ascii="仿宋" w:hAnsi="仿宋" w:eastAsia="仿宋" w:cs="仿宋"/>
                <w:sz w:val="21"/>
                <w:szCs w:val="21"/>
                <w:lang w:val="zh-TW" w:eastAsia="zh-TW"/>
              </w:rPr>
              <w:t>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或漏缺1-2项的得6分；</w:t>
            </w:r>
          </w:p>
          <w:p w14:paraId="04A75DF1">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内容基本全面，基本</w:t>
            </w:r>
            <w:r>
              <w:rPr>
                <w:rFonts w:hint="eastAsia" w:ascii="仿宋" w:hAnsi="仿宋" w:eastAsia="仿宋" w:cs="仿宋"/>
                <w:sz w:val="21"/>
                <w:szCs w:val="21"/>
                <w:lang w:val="zh-TW" w:eastAsia="zh-TW"/>
              </w:rPr>
              <w:t>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或漏缺3-4项的得4分；</w:t>
            </w:r>
          </w:p>
          <w:p w14:paraId="481A2115">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具有明显不合理、描述欠缺、存在实施难度或不提供，或漏缺5项及以上的得0分。</w:t>
            </w:r>
          </w:p>
        </w:tc>
      </w:tr>
      <w:tr w14:paraId="2E72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4" w:hRule="atLeast"/>
          <w:tblHeader/>
          <w:jc w:val="center"/>
        </w:trPr>
        <w:tc>
          <w:tcPr>
            <w:tcW w:w="519" w:type="dxa"/>
            <w:vMerge w:val="continue"/>
            <w:tcBorders>
              <w:left w:val="single" w:color="auto" w:sz="4" w:space="0"/>
              <w:right w:val="single" w:color="auto" w:sz="4" w:space="0"/>
            </w:tcBorders>
            <w:noWrap w:val="0"/>
            <w:vAlign w:val="center"/>
          </w:tcPr>
          <w:p w14:paraId="77DB48A4">
            <w:pPr>
              <w:jc w:val="center"/>
              <w:rPr>
                <w:rFonts w:hint="eastAsia" w:ascii="仿宋" w:hAnsi="仿宋" w:eastAsia="仿宋" w:cs="仿宋"/>
                <w:sz w:val="21"/>
                <w:szCs w:val="21"/>
              </w:rPr>
            </w:pPr>
          </w:p>
        </w:tc>
        <w:tc>
          <w:tcPr>
            <w:tcW w:w="1298" w:type="dxa"/>
            <w:vMerge w:val="continue"/>
            <w:tcBorders>
              <w:left w:val="single" w:color="auto" w:sz="4" w:space="0"/>
              <w:right w:val="single" w:color="auto" w:sz="4" w:space="0"/>
            </w:tcBorders>
            <w:noWrap w:val="0"/>
            <w:vAlign w:val="center"/>
          </w:tcPr>
          <w:p w14:paraId="58F66D57">
            <w:pPr>
              <w:jc w:val="center"/>
              <w:rPr>
                <w:rFonts w:hint="eastAsia" w:ascii="仿宋" w:hAnsi="仿宋" w:eastAsia="仿宋" w:cs="仿宋"/>
                <w:sz w:val="21"/>
                <w:szCs w:val="21"/>
              </w:rPr>
            </w:pPr>
          </w:p>
        </w:tc>
        <w:tc>
          <w:tcPr>
            <w:tcW w:w="1333" w:type="dxa"/>
            <w:tcBorders>
              <w:left w:val="single" w:color="auto" w:sz="4" w:space="0"/>
              <w:right w:val="single" w:color="auto" w:sz="4" w:space="0"/>
            </w:tcBorders>
            <w:noWrap w:val="0"/>
            <w:vAlign w:val="center"/>
          </w:tcPr>
          <w:p w14:paraId="46CAB8E4">
            <w:pPr>
              <w:jc w:val="center"/>
              <w:rPr>
                <w:rFonts w:hint="eastAsia" w:ascii="仿宋" w:hAnsi="仿宋" w:eastAsia="仿宋" w:cs="仿宋"/>
                <w:sz w:val="21"/>
                <w:szCs w:val="21"/>
              </w:rPr>
            </w:pPr>
            <w:r>
              <w:rPr>
                <w:rFonts w:hint="eastAsia" w:ascii="仿宋" w:hAnsi="仿宋" w:eastAsia="仿宋" w:cs="仿宋"/>
                <w:kern w:val="0"/>
                <w:sz w:val="21"/>
                <w:szCs w:val="21"/>
                <w:lang w:val="zh-CN"/>
              </w:rPr>
              <w:t>重难点分析</w:t>
            </w:r>
            <w:r>
              <w:rPr>
                <w:rFonts w:hint="eastAsia" w:ascii="仿宋" w:hAnsi="仿宋" w:eastAsia="仿宋" w:cs="仿宋"/>
                <w:sz w:val="21"/>
                <w:szCs w:val="21"/>
              </w:rPr>
              <w:t>（</w:t>
            </w:r>
            <w:r>
              <w:rPr>
                <w:rFonts w:hint="eastAsia" w:ascii="仿宋" w:hAnsi="仿宋" w:eastAsia="仿宋" w:cs="仿宋"/>
                <w:sz w:val="21"/>
                <w:szCs w:val="21"/>
                <w:lang w:val="en-US" w:eastAsia="zh-CN"/>
              </w:rPr>
              <w:t>8</w:t>
            </w:r>
            <w:r>
              <w:rPr>
                <w:rFonts w:hint="eastAsia" w:ascii="仿宋" w:hAnsi="仿宋" w:eastAsia="仿宋" w:cs="仿宋"/>
                <w:sz w:val="21"/>
                <w:szCs w:val="21"/>
              </w:rPr>
              <w:t>分）</w:t>
            </w:r>
          </w:p>
        </w:tc>
        <w:tc>
          <w:tcPr>
            <w:tcW w:w="7277" w:type="dxa"/>
            <w:gridSpan w:val="2"/>
            <w:tcBorders>
              <w:top w:val="single" w:color="auto" w:sz="4" w:space="0"/>
              <w:left w:val="single" w:color="auto" w:sz="4" w:space="0"/>
              <w:right w:val="single" w:color="auto" w:sz="4" w:space="0"/>
            </w:tcBorders>
            <w:noWrap w:val="0"/>
            <w:vAlign w:val="center"/>
          </w:tcPr>
          <w:p w14:paraId="1A2D9DBC">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重难点分析应包含：道路类型与交通特性适配：不同等级道路（主干道/次干道/支路）信号灯必要性判定、位置（悬臂式/柱式）及高度设置需匹配交通流量、交叉口几何条件（车道数、转弯半径）；特殊场景规范差异：学校、医院等区域需兼顾行人/非机动车优先，与标志标线协同，避免多设施冲突；显示方式与相位逻辑：箭头灯与圆灯选择、相位序列设计需符合驾驶习惯，防止歧义（如左转与直行冲突）；法规与地方标准协调：国家规范与地方性需求（如潮汐交通）的适配，动态更新机制缺失。配时优化数据采集与精准性：实时/历史交通流数据（高峰低谷、潮汐流量）获取难度大，数据质量影响参数（周期、绿信比）设定；多目标平衡冲突：通行效率（减少延误/排队）、交通安全（冲突规避）、行人过街权（时间保障）的优先级协调；动态调整实时性与稳定性：自适应信号控制中配时参数快速更新与避免频繁切换导致驾驶混乱的矛盾；特殊状态应对能力：拥堵、事故、恶劣天气下的策略调整，与智能交通系统（ITS）的协同适配；公众接受度与习惯适应：优化方案需平衡效率提升与驾驶习惯，避免因规则变更引发通行困扰。交通参与者需求冲突：机动车、非机动车、行人通行权的矛盾协调（如行人过街时间与机动车效率）；跨部门协作与数据共享：交通管理、规划、公安等部门信息壁垒导致优化协同不足；技术应用局限：传统方法与AI、大数据算法结合的落地难题，设备（检测器）精度及维护成本；评估体系量化：缺乏统一指标（延误指数、安全指标）衡量优化效果，难以量化收益。</w:t>
            </w:r>
          </w:p>
          <w:p w14:paraId="7BF49855">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内容详细完整，</w:t>
            </w:r>
            <w:r>
              <w:rPr>
                <w:rFonts w:hint="eastAsia" w:ascii="仿宋" w:hAnsi="仿宋" w:eastAsia="仿宋" w:cs="仿宋"/>
                <w:sz w:val="21"/>
                <w:szCs w:val="21"/>
                <w:lang w:val="zh-TW" w:eastAsia="zh-TW"/>
              </w:rPr>
              <w:t>科学合理可行，符合项目特点及要求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优于采购文件要求的得8分；</w:t>
            </w:r>
          </w:p>
          <w:p w14:paraId="60A41CAC">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内容较全面，较</w:t>
            </w:r>
            <w:r>
              <w:rPr>
                <w:rFonts w:hint="eastAsia" w:ascii="仿宋" w:hAnsi="仿宋" w:eastAsia="仿宋" w:cs="仿宋"/>
                <w:sz w:val="21"/>
                <w:szCs w:val="21"/>
                <w:lang w:val="zh-TW" w:eastAsia="zh-TW"/>
              </w:rPr>
              <w:t>合理，</w:t>
            </w:r>
            <w:r>
              <w:rPr>
                <w:rFonts w:hint="eastAsia" w:ascii="仿宋" w:hAnsi="仿宋" w:eastAsia="仿宋" w:cs="仿宋"/>
                <w:sz w:val="21"/>
                <w:szCs w:val="21"/>
                <w:lang w:val="en-US" w:eastAsia="zh-CN"/>
              </w:rPr>
              <w:t>能够满足</w:t>
            </w:r>
            <w:r>
              <w:rPr>
                <w:rFonts w:hint="eastAsia" w:ascii="仿宋" w:hAnsi="仿宋" w:eastAsia="仿宋" w:cs="仿宋"/>
                <w:sz w:val="21"/>
                <w:szCs w:val="21"/>
                <w:lang w:val="zh-TW" w:eastAsia="zh-TW"/>
              </w:rPr>
              <w:t>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或漏缺1-2项的得6分；</w:t>
            </w:r>
          </w:p>
          <w:p w14:paraId="42C93C84">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内容基本全面，基本</w:t>
            </w:r>
            <w:r>
              <w:rPr>
                <w:rFonts w:hint="eastAsia" w:ascii="仿宋" w:hAnsi="仿宋" w:eastAsia="仿宋" w:cs="仿宋"/>
                <w:sz w:val="21"/>
                <w:szCs w:val="21"/>
                <w:lang w:val="zh-TW" w:eastAsia="zh-TW"/>
              </w:rPr>
              <w:t>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或漏缺3-4项的得4分；</w:t>
            </w:r>
          </w:p>
          <w:p w14:paraId="27CED354">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具有明显不合理、描述欠缺、存在实施难度或不提供，或漏缺5项及以上的得0分。</w:t>
            </w:r>
          </w:p>
        </w:tc>
      </w:tr>
      <w:tr w14:paraId="0B72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8" w:hRule="atLeast"/>
          <w:tblHeader/>
          <w:jc w:val="center"/>
        </w:trPr>
        <w:tc>
          <w:tcPr>
            <w:tcW w:w="519" w:type="dxa"/>
            <w:vMerge w:val="continue"/>
            <w:tcBorders>
              <w:left w:val="single" w:color="auto" w:sz="4" w:space="0"/>
              <w:right w:val="single" w:color="auto" w:sz="4" w:space="0"/>
            </w:tcBorders>
            <w:noWrap w:val="0"/>
            <w:vAlign w:val="center"/>
          </w:tcPr>
          <w:p w14:paraId="1A025843">
            <w:pPr>
              <w:jc w:val="center"/>
              <w:rPr>
                <w:rFonts w:hint="eastAsia" w:ascii="仿宋" w:hAnsi="仿宋" w:eastAsia="仿宋" w:cs="仿宋"/>
                <w:sz w:val="21"/>
                <w:szCs w:val="21"/>
              </w:rPr>
            </w:pPr>
          </w:p>
        </w:tc>
        <w:tc>
          <w:tcPr>
            <w:tcW w:w="1298" w:type="dxa"/>
            <w:vMerge w:val="continue"/>
            <w:tcBorders>
              <w:left w:val="single" w:color="auto" w:sz="4" w:space="0"/>
              <w:right w:val="single" w:color="auto" w:sz="4" w:space="0"/>
            </w:tcBorders>
            <w:noWrap w:val="0"/>
            <w:vAlign w:val="center"/>
          </w:tcPr>
          <w:p w14:paraId="634D172C">
            <w:pPr>
              <w:jc w:val="center"/>
              <w:rPr>
                <w:rFonts w:hint="eastAsia" w:ascii="仿宋" w:hAnsi="仿宋" w:eastAsia="仿宋" w:cs="仿宋"/>
                <w:sz w:val="21"/>
                <w:szCs w:val="21"/>
              </w:rPr>
            </w:pPr>
          </w:p>
        </w:tc>
        <w:tc>
          <w:tcPr>
            <w:tcW w:w="1333" w:type="dxa"/>
            <w:tcBorders>
              <w:left w:val="single" w:color="auto" w:sz="4" w:space="0"/>
              <w:right w:val="single" w:color="auto" w:sz="4" w:space="0"/>
            </w:tcBorders>
            <w:noWrap w:val="0"/>
            <w:vAlign w:val="center"/>
          </w:tcPr>
          <w:p w14:paraId="45E89563">
            <w:pPr>
              <w:jc w:val="center"/>
              <w:rPr>
                <w:rFonts w:hint="eastAsia" w:ascii="仿宋" w:hAnsi="仿宋" w:eastAsia="仿宋" w:cs="仿宋"/>
                <w:sz w:val="21"/>
                <w:szCs w:val="21"/>
              </w:rPr>
            </w:pPr>
            <w:r>
              <w:rPr>
                <w:rFonts w:hint="eastAsia" w:ascii="仿宋" w:hAnsi="仿宋" w:eastAsia="仿宋" w:cs="仿宋"/>
                <w:sz w:val="21"/>
                <w:szCs w:val="21"/>
              </w:rPr>
              <w:t>应对措施</w:t>
            </w:r>
          </w:p>
          <w:p w14:paraId="0DAA23FA">
            <w:pPr>
              <w:jc w:val="center"/>
              <w:rPr>
                <w:rFonts w:hint="eastAsia" w:ascii="仿宋" w:hAnsi="仿宋" w:eastAsia="仿宋" w:cs="仿宋"/>
                <w:sz w:val="21"/>
                <w:szCs w:val="21"/>
              </w:rPr>
            </w:pPr>
            <w:r>
              <w:rPr>
                <w:rFonts w:hint="eastAsia" w:ascii="仿宋" w:hAnsi="仿宋" w:eastAsia="仿宋" w:cs="仿宋"/>
                <w:sz w:val="21"/>
                <w:szCs w:val="21"/>
              </w:rPr>
              <w:t>（</w:t>
            </w:r>
            <w:r>
              <w:rPr>
                <w:rFonts w:hint="eastAsia" w:ascii="仿宋" w:hAnsi="仿宋" w:eastAsia="仿宋" w:cs="仿宋"/>
                <w:sz w:val="21"/>
                <w:szCs w:val="21"/>
                <w:lang w:val="en-US" w:eastAsia="zh-CN"/>
              </w:rPr>
              <w:t>8</w:t>
            </w:r>
            <w:r>
              <w:rPr>
                <w:rFonts w:hint="eastAsia" w:ascii="仿宋" w:hAnsi="仿宋" w:eastAsia="仿宋" w:cs="仿宋"/>
                <w:sz w:val="21"/>
                <w:szCs w:val="21"/>
              </w:rPr>
              <w:t>分）</w:t>
            </w:r>
          </w:p>
        </w:tc>
        <w:tc>
          <w:tcPr>
            <w:tcW w:w="7277" w:type="dxa"/>
            <w:gridSpan w:val="2"/>
            <w:tcBorders>
              <w:top w:val="single" w:color="auto" w:sz="4" w:space="0"/>
              <w:left w:val="single" w:color="auto" w:sz="4" w:space="0"/>
              <w:right w:val="single" w:color="auto" w:sz="4" w:space="0"/>
            </w:tcBorders>
            <w:noWrap w:val="0"/>
            <w:vAlign w:val="center"/>
          </w:tcPr>
          <w:p w14:paraId="1629A2D7">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本项目的应对措施包含的内容：依据国家标准及交通流量、道路类型等数据规范设置，科学布局信号灯位置与数量，确保视距良好无遮挡；合理设计相位（如十字/丁字路口相位、行人/非机动车专用相位），规范箭头灯与圆灯使用，保障信号显示清晰（亮度、颜色符合标准，避免眩光），并针对学校、医院等区域增设行人优先信号。基于实时/历史交通数据（机动车、非机动车、行人流量）配时优化，优化周期时长（平衡延误与通行能力）、绿信比（按各方向流量分配绿灯时间）及相位差（协调相邻路口减少停车）；实施动态自适应控制，应对节假日、恶劣天气等特殊情况，夜间低流量时缩短周期或黄闪；保障行人过街绿灯时长（按过街距离与步行速度计算），优化非机动车左转相位（如二次过街或专用相位）；推进干线/区域协调控制（绿波带、多路口联动），利用AI与大数据分析评估延误、排队长度等指标，定期调整方案，结合智能信号系统提升通行效率。</w:t>
            </w:r>
          </w:p>
          <w:p w14:paraId="4DB1D435">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内容详细完整，</w:t>
            </w:r>
            <w:r>
              <w:rPr>
                <w:rFonts w:hint="eastAsia" w:ascii="仿宋" w:hAnsi="仿宋" w:eastAsia="仿宋" w:cs="仿宋"/>
                <w:sz w:val="21"/>
                <w:szCs w:val="21"/>
                <w:lang w:val="zh-TW" w:eastAsia="zh-TW"/>
              </w:rPr>
              <w:t>科学合理可行，符合项目特点及要求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优于采购文件要求的得8分；</w:t>
            </w:r>
          </w:p>
          <w:p w14:paraId="69C2FE90">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内容较全面，较</w:t>
            </w:r>
            <w:r>
              <w:rPr>
                <w:rFonts w:hint="eastAsia" w:ascii="仿宋" w:hAnsi="仿宋" w:eastAsia="仿宋" w:cs="仿宋"/>
                <w:sz w:val="21"/>
                <w:szCs w:val="21"/>
                <w:lang w:val="zh-TW" w:eastAsia="zh-TW"/>
              </w:rPr>
              <w:t>合理，</w:t>
            </w:r>
            <w:r>
              <w:rPr>
                <w:rFonts w:hint="eastAsia" w:ascii="仿宋" w:hAnsi="仿宋" w:eastAsia="仿宋" w:cs="仿宋"/>
                <w:sz w:val="21"/>
                <w:szCs w:val="21"/>
                <w:lang w:val="en-US" w:eastAsia="zh-CN"/>
              </w:rPr>
              <w:t>能够满足</w:t>
            </w:r>
            <w:r>
              <w:rPr>
                <w:rFonts w:hint="eastAsia" w:ascii="仿宋" w:hAnsi="仿宋" w:eastAsia="仿宋" w:cs="仿宋"/>
                <w:sz w:val="21"/>
                <w:szCs w:val="21"/>
                <w:lang w:val="zh-TW" w:eastAsia="zh-TW"/>
              </w:rPr>
              <w:t>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或漏缺1-2项的得6分；</w:t>
            </w:r>
          </w:p>
          <w:p w14:paraId="78C8C618">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内容基本全面，基本</w:t>
            </w:r>
            <w:r>
              <w:rPr>
                <w:rFonts w:hint="eastAsia" w:ascii="仿宋" w:hAnsi="仿宋" w:eastAsia="仿宋" w:cs="仿宋"/>
                <w:sz w:val="21"/>
                <w:szCs w:val="21"/>
                <w:lang w:val="zh-TW" w:eastAsia="zh-TW"/>
              </w:rPr>
              <w:t>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或漏缺3-4项的得4分；</w:t>
            </w:r>
          </w:p>
          <w:p w14:paraId="0154BFF9">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具有明显不合理、描述欠缺、存在实施难度或不提供，或漏缺5项及以上的得0分。</w:t>
            </w:r>
          </w:p>
        </w:tc>
      </w:tr>
      <w:tr w14:paraId="4A8E1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4" w:hRule="atLeast"/>
          <w:tblHeader/>
          <w:jc w:val="center"/>
        </w:trPr>
        <w:tc>
          <w:tcPr>
            <w:tcW w:w="519" w:type="dxa"/>
            <w:vMerge w:val="continue"/>
            <w:tcBorders>
              <w:left w:val="single" w:color="auto" w:sz="4" w:space="0"/>
              <w:right w:val="single" w:color="auto" w:sz="4" w:space="0"/>
            </w:tcBorders>
            <w:noWrap w:val="0"/>
            <w:vAlign w:val="center"/>
          </w:tcPr>
          <w:p w14:paraId="7B8C7706">
            <w:pPr>
              <w:jc w:val="center"/>
              <w:rPr>
                <w:rFonts w:hint="eastAsia" w:ascii="仿宋" w:hAnsi="仿宋" w:eastAsia="仿宋" w:cs="仿宋"/>
                <w:sz w:val="21"/>
                <w:szCs w:val="21"/>
              </w:rPr>
            </w:pPr>
          </w:p>
        </w:tc>
        <w:tc>
          <w:tcPr>
            <w:tcW w:w="1298" w:type="dxa"/>
            <w:vMerge w:val="continue"/>
            <w:tcBorders>
              <w:left w:val="single" w:color="auto" w:sz="4" w:space="0"/>
              <w:right w:val="single" w:color="auto" w:sz="4" w:space="0"/>
            </w:tcBorders>
            <w:noWrap w:val="0"/>
            <w:vAlign w:val="center"/>
          </w:tcPr>
          <w:p w14:paraId="0F9DC2C4">
            <w:pPr>
              <w:jc w:val="center"/>
              <w:rPr>
                <w:rFonts w:hint="eastAsia" w:ascii="仿宋" w:hAnsi="仿宋" w:eastAsia="仿宋" w:cs="仿宋"/>
                <w:sz w:val="21"/>
                <w:szCs w:val="21"/>
              </w:rPr>
            </w:pPr>
          </w:p>
        </w:tc>
        <w:tc>
          <w:tcPr>
            <w:tcW w:w="1333" w:type="dxa"/>
            <w:tcBorders>
              <w:left w:val="single" w:color="auto" w:sz="4" w:space="0"/>
              <w:right w:val="single" w:color="auto" w:sz="4" w:space="0"/>
            </w:tcBorders>
            <w:noWrap w:val="0"/>
            <w:vAlign w:val="center"/>
          </w:tcPr>
          <w:p w14:paraId="7914908C">
            <w:pPr>
              <w:jc w:val="center"/>
              <w:rPr>
                <w:rFonts w:hint="eastAsia" w:ascii="仿宋" w:hAnsi="仿宋" w:eastAsia="仿宋" w:cs="仿宋"/>
                <w:sz w:val="21"/>
                <w:szCs w:val="21"/>
              </w:rPr>
            </w:pPr>
            <w:r>
              <w:rPr>
                <w:rFonts w:hint="eastAsia" w:ascii="仿宋" w:hAnsi="仿宋" w:eastAsia="仿宋" w:cs="仿宋"/>
                <w:sz w:val="21"/>
                <w:szCs w:val="21"/>
              </w:rPr>
              <w:t>合理化建议（</w:t>
            </w:r>
            <w:r>
              <w:rPr>
                <w:rFonts w:hint="eastAsia" w:ascii="仿宋" w:hAnsi="仿宋" w:eastAsia="仿宋" w:cs="仿宋"/>
                <w:sz w:val="21"/>
                <w:szCs w:val="21"/>
                <w:lang w:val="en-US" w:eastAsia="zh-CN"/>
              </w:rPr>
              <w:t>8</w:t>
            </w:r>
            <w:r>
              <w:rPr>
                <w:rFonts w:hint="eastAsia" w:ascii="仿宋" w:hAnsi="仿宋" w:eastAsia="仿宋" w:cs="仿宋"/>
                <w:sz w:val="21"/>
                <w:szCs w:val="21"/>
              </w:rPr>
              <w:t>分）</w:t>
            </w:r>
          </w:p>
        </w:tc>
        <w:tc>
          <w:tcPr>
            <w:tcW w:w="7277" w:type="dxa"/>
            <w:gridSpan w:val="2"/>
            <w:tcBorders>
              <w:top w:val="single" w:color="auto" w:sz="4" w:space="0"/>
              <w:left w:val="single" w:color="auto" w:sz="4" w:space="0"/>
              <w:right w:val="single" w:color="auto" w:sz="4" w:space="0"/>
            </w:tcBorders>
            <w:noWrap w:val="0"/>
            <w:vAlign w:val="center"/>
          </w:tcPr>
          <w:p w14:paraId="447BEB22">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本项目的合理化建议包含的内容：规范设置需确保信号灯位置无遮挡、可见性良好，适配交叉口类型（如T型、十字型）合理布局，配备倒计时器、行人专用灯及特殊车辆优先信号装置；科学划分相位，避免冲突相位，大型路口采用多相位设计减少交织干扰。配时优化应基于实时车流量数据动态调整，分高峰、平峰、低峰设置差异化方案，保障主干道高峰通行效率；优先保障行人过街绿灯时长（考虑老年人等群体速度），设置行人请求按钮；推行干线协调控制，构建绿波带减少停车次数，特殊场景（学校、医院、公交站点）设置专用配时。建立数据驱动机制，定期开展交通流量调查更新方案，结合公众反馈优化设置；加强设备维护，确保运行稳定，夜间采用黄闪模式提升通行效率，避免绿信比失衡及空放现象。</w:t>
            </w:r>
          </w:p>
          <w:p w14:paraId="20CF390E">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内容详细完整，</w:t>
            </w:r>
            <w:r>
              <w:rPr>
                <w:rFonts w:hint="eastAsia" w:ascii="仿宋" w:hAnsi="仿宋" w:eastAsia="仿宋" w:cs="仿宋"/>
                <w:sz w:val="21"/>
                <w:szCs w:val="21"/>
                <w:lang w:val="zh-TW" w:eastAsia="zh-TW"/>
              </w:rPr>
              <w:t>科学合理可行，符合项目特点及要求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优于采购文件要求的得8分；</w:t>
            </w:r>
          </w:p>
          <w:p w14:paraId="7AB5205E">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内容较全面，较</w:t>
            </w:r>
            <w:r>
              <w:rPr>
                <w:rFonts w:hint="eastAsia" w:ascii="仿宋" w:hAnsi="仿宋" w:eastAsia="仿宋" w:cs="仿宋"/>
                <w:sz w:val="21"/>
                <w:szCs w:val="21"/>
                <w:lang w:val="zh-TW" w:eastAsia="zh-TW"/>
              </w:rPr>
              <w:t>合理，</w:t>
            </w:r>
            <w:r>
              <w:rPr>
                <w:rFonts w:hint="eastAsia" w:ascii="仿宋" w:hAnsi="仿宋" w:eastAsia="仿宋" w:cs="仿宋"/>
                <w:sz w:val="21"/>
                <w:szCs w:val="21"/>
                <w:lang w:val="en-US" w:eastAsia="zh-CN"/>
              </w:rPr>
              <w:t>能够满足</w:t>
            </w:r>
            <w:r>
              <w:rPr>
                <w:rFonts w:hint="eastAsia" w:ascii="仿宋" w:hAnsi="仿宋" w:eastAsia="仿宋" w:cs="仿宋"/>
                <w:sz w:val="21"/>
                <w:szCs w:val="21"/>
                <w:lang w:val="zh-TW" w:eastAsia="zh-TW"/>
              </w:rPr>
              <w:t>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或漏缺1项的得6分；</w:t>
            </w:r>
          </w:p>
          <w:p w14:paraId="52C80FD2">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内容基本全面，基本</w:t>
            </w:r>
            <w:r>
              <w:rPr>
                <w:rFonts w:hint="eastAsia" w:ascii="仿宋" w:hAnsi="仿宋" w:eastAsia="仿宋" w:cs="仿宋"/>
                <w:sz w:val="21"/>
                <w:szCs w:val="21"/>
                <w:lang w:val="zh-TW" w:eastAsia="zh-TW"/>
              </w:rPr>
              <w:t>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或漏缺2项的得4分；</w:t>
            </w:r>
          </w:p>
          <w:p w14:paraId="032E099E">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具有明显不合理、描述欠缺、存在实施难度或不提供，或漏缺3项及以上的得0分。</w:t>
            </w:r>
          </w:p>
        </w:tc>
      </w:tr>
      <w:tr w14:paraId="24B8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2" w:hRule="atLeast"/>
          <w:tblHeader/>
          <w:jc w:val="center"/>
        </w:trPr>
        <w:tc>
          <w:tcPr>
            <w:tcW w:w="519" w:type="dxa"/>
            <w:vMerge w:val="continue"/>
            <w:tcBorders>
              <w:left w:val="single" w:color="auto" w:sz="4" w:space="0"/>
              <w:right w:val="single" w:color="auto" w:sz="4" w:space="0"/>
            </w:tcBorders>
            <w:noWrap w:val="0"/>
            <w:vAlign w:val="center"/>
          </w:tcPr>
          <w:p w14:paraId="604680A7">
            <w:pPr>
              <w:jc w:val="center"/>
              <w:rPr>
                <w:rFonts w:hint="eastAsia" w:ascii="仿宋" w:hAnsi="仿宋" w:eastAsia="仿宋" w:cs="仿宋"/>
                <w:sz w:val="21"/>
                <w:szCs w:val="21"/>
              </w:rPr>
            </w:pPr>
          </w:p>
        </w:tc>
        <w:tc>
          <w:tcPr>
            <w:tcW w:w="1298" w:type="dxa"/>
            <w:vMerge w:val="continue"/>
            <w:tcBorders>
              <w:left w:val="single" w:color="auto" w:sz="4" w:space="0"/>
              <w:right w:val="single" w:color="auto" w:sz="4" w:space="0"/>
            </w:tcBorders>
            <w:noWrap w:val="0"/>
            <w:vAlign w:val="center"/>
          </w:tcPr>
          <w:p w14:paraId="3E224DB8">
            <w:pPr>
              <w:jc w:val="center"/>
              <w:rPr>
                <w:rFonts w:hint="eastAsia" w:ascii="仿宋" w:hAnsi="仿宋" w:eastAsia="仿宋" w:cs="仿宋"/>
                <w:sz w:val="21"/>
                <w:szCs w:val="21"/>
              </w:rPr>
            </w:pPr>
          </w:p>
        </w:tc>
        <w:tc>
          <w:tcPr>
            <w:tcW w:w="1333" w:type="dxa"/>
            <w:tcBorders>
              <w:left w:val="single" w:color="auto" w:sz="4" w:space="0"/>
              <w:right w:val="single" w:color="auto" w:sz="4" w:space="0"/>
            </w:tcBorders>
            <w:noWrap w:val="0"/>
            <w:vAlign w:val="center"/>
          </w:tcPr>
          <w:p w14:paraId="5835D0AB">
            <w:pPr>
              <w:jc w:val="center"/>
              <w:rPr>
                <w:rFonts w:hint="eastAsia" w:ascii="仿宋" w:hAnsi="仿宋" w:eastAsia="仿宋" w:cs="仿宋"/>
                <w:sz w:val="21"/>
                <w:szCs w:val="21"/>
              </w:rPr>
            </w:pPr>
            <w:r>
              <w:rPr>
                <w:rFonts w:hint="eastAsia" w:ascii="仿宋" w:hAnsi="仿宋" w:eastAsia="仿宋" w:cs="仿宋"/>
                <w:kern w:val="0"/>
                <w:sz w:val="21"/>
                <w:szCs w:val="21"/>
                <w:lang w:val="zh-CN"/>
              </w:rPr>
              <w:t>质量保障措施</w:t>
            </w:r>
            <w:r>
              <w:rPr>
                <w:rFonts w:hint="eastAsia" w:ascii="仿宋" w:hAnsi="仿宋" w:eastAsia="仿宋" w:cs="仿宋"/>
                <w:sz w:val="21"/>
                <w:szCs w:val="21"/>
              </w:rPr>
              <w:t>（</w:t>
            </w:r>
            <w:r>
              <w:rPr>
                <w:rFonts w:hint="eastAsia" w:ascii="仿宋" w:hAnsi="仿宋" w:eastAsia="仿宋" w:cs="仿宋"/>
                <w:sz w:val="21"/>
                <w:szCs w:val="21"/>
                <w:lang w:val="en-US" w:eastAsia="zh-CN"/>
              </w:rPr>
              <w:t>8</w:t>
            </w:r>
            <w:r>
              <w:rPr>
                <w:rFonts w:hint="eastAsia" w:ascii="仿宋" w:hAnsi="仿宋" w:eastAsia="仿宋" w:cs="仿宋"/>
                <w:sz w:val="21"/>
                <w:szCs w:val="21"/>
              </w:rPr>
              <w:t>分）</w:t>
            </w:r>
          </w:p>
        </w:tc>
        <w:tc>
          <w:tcPr>
            <w:tcW w:w="7277" w:type="dxa"/>
            <w:gridSpan w:val="2"/>
            <w:tcBorders>
              <w:top w:val="single" w:color="auto" w:sz="4" w:space="0"/>
              <w:left w:val="single" w:color="auto" w:sz="4" w:space="0"/>
              <w:right w:val="single" w:color="auto" w:sz="4" w:space="0"/>
            </w:tcBorders>
            <w:noWrap w:val="0"/>
            <w:vAlign w:val="center"/>
          </w:tcPr>
          <w:p w14:paraId="6B4AE099">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本项目的质量保障措施的内容包含：制定统一技术标准：依据国家/地方规范明确信号灯安装位置、相位设计、灯具参数等设置要求。科学选址布局：结合路口交通流量、道路等级、行人需求等合理确定信号灯位置及数量。严控基础设施质量：确保灯具、信号机、通信设备等硬件符合标准，保障稳定性。动态监测与数据支撑：通过视频监控、线圈检测器等实时采集车流量、人流量数据。应用科学配时模型：结合交通特性（高峰/平峰/特殊天气），运用Webster法、Synchro等模型设计方案。建立动态调整机制：依据实时/历史数据定期评估并调整配时，节假日等特殊情况临时优化。推进区域协同控制：通过绿波带等系统实现干线/区域信号灯联动，避免单点优化导致拥堵。多主体意见征集：征求交警、交通部门、居民及驾驶员意见，兼顾各方需求。构建效果评估体系：以延误时间、通行效率、事故率等为指标，定期第三方评估配时效果。强化运维保障：建立设备日常巡检、故障维修机制，及时处理故障。引入技术创新：应用AI、大数据、车路协同等实现配时智能预测与动态调整。完善法规标准：根据实际修订信号灯设置及配时法规，适应交通发展需求。</w:t>
            </w:r>
          </w:p>
          <w:p w14:paraId="5F1CCFDB">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内容详细完整，</w:t>
            </w:r>
            <w:r>
              <w:rPr>
                <w:rFonts w:hint="eastAsia" w:ascii="仿宋" w:hAnsi="仿宋" w:eastAsia="仿宋" w:cs="仿宋"/>
                <w:sz w:val="21"/>
                <w:szCs w:val="21"/>
                <w:lang w:val="zh-TW" w:eastAsia="zh-TW"/>
              </w:rPr>
              <w:t>科学合理可行，符合项目特点及要求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优于采购文件要求的得8分；</w:t>
            </w:r>
          </w:p>
          <w:p w14:paraId="5CB25259">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内容较全面，较</w:t>
            </w:r>
            <w:r>
              <w:rPr>
                <w:rFonts w:hint="eastAsia" w:ascii="仿宋" w:hAnsi="仿宋" w:eastAsia="仿宋" w:cs="仿宋"/>
                <w:sz w:val="21"/>
                <w:szCs w:val="21"/>
                <w:lang w:val="zh-TW" w:eastAsia="zh-TW"/>
              </w:rPr>
              <w:t>合理，</w:t>
            </w:r>
            <w:r>
              <w:rPr>
                <w:rFonts w:hint="eastAsia" w:ascii="仿宋" w:hAnsi="仿宋" w:eastAsia="仿宋" w:cs="仿宋"/>
                <w:sz w:val="21"/>
                <w:szCs w:val="21"/>
                <w:lang w:val="en-US" w:eastAsia="zh-CN"/>
              </w:rPr>
              <w:t>能够满足</w:t>
            </w:r>
            <w:r>
              <w:rPr>
                <w:rFonts w:hint="eastAsia" w:ascii="仿宋" w:hAnsi="仿宋" w:eastAsia="仿宋" w:cs="仿宋"/>
                <w:sz w:val="21"/>
                <w:szCs w:val="21"/>
                <w:lang w:val="zh-TW" w:eastAsia="zh-TW"/>
              </w:rPr>
              <w:t>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或漏缺1-2项的得6分；</w:t>
            </w:r>
          </w:p>
          <w:p w14:paraId="5161E5BE">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内容基本全面，基本</w:t>
            </w:r>
            <w:r>
              <w:rPr>
                <w:rFonts w:hint="eastAsia" w:ascii="仿宋" w:hAnsi="仿宋" w:eastAsia="仿宋" w:cs="仿宋"/>
                <w:sz w:val="21"/>
                <w:szCs w:val="21"/>
                <w:lang w:val="zh-TW" w:eastAsia="zh-TW"/>
              </w:rPr>
              <w:t>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或漏缺3-4项的得4分；</w:t>
            </w:r>
          </w:p>
          <w:p w14:paraId="468E0622">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具有明显不合理、描述欠缺、存在实施难度或不提供，或漏缺5项及以上的得0分。</w:t>
            </w:r>
          </w:p>
        </w:tc>
      </w:tr>
      <w:tr w14:paraId="5B6B0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2" w:hRule="atLeast"/>
          <w:tblHeader/>
          <w:jc w:val="center"/>
        </w:trPr>
        <w:tc>
          <w:tcPr>
            <w:tcW w:w="519" w:type="dxa"/>
            <w:vMerge w:val="continue"/>
            <w:tcBorders>
              <w:left w:val="single" w:color="auto" w:sz="4" w:space="0"/>
              <w:right w:val="single" w:color="auto" w:sz="4" w:space="0"/>
            </w:tcBorders>
            <w:noWrap w:val="0"/>
            <w:vAlign w:val="center"/>
          </w:tcPr>
          <w:p w14:paraId="505C545E">
            <w:pPr>
              <w:jc w:val="center"/>
              <w:rPr>
                <w:rFonts w:hint="eastAsia" w:ascii="仿宋" w:hAnsi="仿宋" w:eastAsia="仿宋" w:cs="仿宋"/>
                <w:sz w:val="21"/>
                <w:szCs w:val="21"/>
              </w:rPr>
            </w:pPr>
          </w:p>
        </w:tc>
        <w:tc>
          <w:tcPr>
            <w:tcW w:w="1298" w:type="dxa"/>
            <w:vMerge w:val="continue"/>
            <w:tcBorders>
              <w:left w:val="single" w:color="auto" w:sz="4" w:space="0"/>
              <w:right w:val="single" w:color="auto" w:sz="4" w:space="0"/>
            </w:tcBorders>
            <w:noWrap w:val="0"/>
            <w:vAlign w:val="center"/>
          </w:tcPr>
          <w:p w14:paraId="13856F62">
            <w:pPr>
              <w:jc w:val="center"/>
              <w:rPr>
                <w:rFonts w:hint="eastAsia" w:ascii="仿宋" w:hAnsi="仿宋" w:eastAsia="仿宋" w:cs="仿宋"/>
                <w:sz w:val="21"/>
                <w:szCs w:val="21"/>
              </w:rPr>
            </w:pPr>
          </w:p>
        </w:tc>
        <w:tc>
          <w:tcPr>
            <w:tcW w:w="1333" w:type="dxa"/>
            <w:tcBorders>
              <w:left w:val="single" w:color="auto" w:sz="4" w:space="0"/>
              <w:right w:val="single" w:color="auto" w:sz="4" w:space="0"/>
            </w:tcBorders>
            <w:noWrap w:val="0"/>
            <w:vAlign w:val="center"/>
          </w:tcPr>
          <w:p w14:paraId="07C24479">
            <w:pPr>
              <w:jc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后续服务保障措施</w:t>
            </w:r>
          </w:p>
          <w:p w14:paraId="75E4AE1E">
            <w:pPr>
              <w:jc w:val="center"/>
              <w:rPr>
                <w:rFonts w:hint="eastAsia" w:ascii="仿宋" w:hAnsi="仿宋" w:eastAsia="仿宋" w:cs="仿宋"/>
                <w:kern w:val="0"/>
                <w:sz w:val="21"/>
                <w:szCs w:val="21"/>
                <w:lang w:val="en-US" w:eastAsia="zh-CN"/>
              </w:rPr>
            </w:pPr>
            <w:r>
              <w:rPr>
                <w:rFonts w:hint="eastAsia" w:ascii="仿宋" w:hAnsi="仿宋" w:eastAsia="仿宋" w:cs="仿宋"/>
                <w:kern w:val="0"/>
                <w:sz w:val="21"/>
                <w:szCs w:val="21"/>
                <w:lang w:val="en-US" w:eastAsia="zh-CN"/>
              </w:rPr>
              <w:t>（7分）</w:t>
            </w:r>
          </w:p>
        </w:tc>
        <w:tc>
          <w:tcPr>
            <w:tcW w:w="7277" w:type="dxa"/>
            <w:gridSpan w:val="2"/>
            <w:tcBorders>
              <w:top w:val="single" w:color="auto" w:sz="4" w:space="0"/>
              <w:left w:val="single" w:color="auto" w:sz="4" w:space="0"/>
              <w:right w:val="single" w:color="auto" w:sz="4" w:space="0"/>
            </w:tcBorders>
            <w:noWrap w:val="0"/>
            <w:vAlign w:val="center"/>
          </w:tcPr>
          <w:p w14:paraId="1C519414">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后续服务保障措施的内容包含：建立日常巡检维护机制，定期检查信号灯设备运行状态，及时修复故障，保障硬件设施完好；构建动态监测与数据采集系统，实时采集交通流量、车速等数据，为配时优化提供依据；实施定期评估与动态调整，结合交通运行变化（如道路施工、早晚高峰规律），每季度至少开展1次配时方案评估与优化；畅通公众反馈渠道，通过政务平台、热线等接收市民对信号灯问题的反馈，24小时内响应处置；强化跨部门协作，联合交警、交通、市政等部门建立联动机制，同步更新道路施工、交通管制等影响信号灯配时的信息；推进技术升级与智能迭代，引入AI算法、车路协同等技术，提升信号灯自适应调节能力；开展从业人员培训，定期组织交警、维护人员进行设备操作、数据分析及应急处置技能培训；制定应急保障预案，针对停电、设备故障等突发情况，明确临时交通指挥措施及信号灯恢复流程；完善法规标准支撑，依据最新交通管理法规，细化信号灯设置、配时及维护的技术规范；加强宣传引导，通过媒体向公众解读信号灯配时优化原理，提升交通参与者的理解与配合度。</w:t>
            </w:r>
          </w:p>
          <w:p w14:paraId="5666139D">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内容详细完整，</w:t>
            </w:r>
            <w:r>
              <w:rPr>
                <w:rFonts w:hint="eastAsia" w:ascii="仿宋" w:hAnsi="仿宋" w:eastAsia="仿宋" w:cs="仿宋"/>
                <w:sz w:val="21"/>
                <w:szCs w:val="21"/>
                <w:lang w:val="zh-TW" w:eastAsia="zh-TW"/>
              </w:rPr>
              <w:t>科学合理可行，符合项目特点及要求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优于采购文件要求的得7分；</w:t>
            </w:r>
          </w:p>
          <w:p w14:paraId="7994C095">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内容较全面，较</w:t>
            </w:r>
            <w:r>
              <w:rPr>
                <w:rFonts w:hint="eastAsia" w:ascii="仿宋" w:hAnsi="仿宋" w:eastAsia="仿宋" w:cs="仿宋"/>
                <w:sz w:val="21"/>
                <w:szCs w:val="21"/>
                <w:lang w:val="zh-TW" w:eastAsia="zh-TW"/>
              </w:rPr>
              <w:t>合理，</w:t>
            </w:r>
            <w:r>
              <w:rPr>
                <w:rFonts w:hint="eastAsia" w:ascii="仿宋" w:hAnsi="仿宋" w:eastAsia="仿宋" w:cs="仿宋"/>
                <w:sz w:val="21"/>
                <w:szCs w:val="21"/>
                <w:lang w:val="en-US" w:eastAsia="zh-CN"/>
              </w:rPr>
              <w:t>能够满足</w:t>
            </w:r>
            <w:r>
              <w:rPr>
                <w:rFonts w:hint="eastAsia" w:ascii="仿宋" w:hAnsi="仿宋" w:eastAsia="仿宋" w:cs="仿宋"/>
                <w:sz w:val="21"/>
                <w:szCs w:val="21"/>
                <w:lang w:val="zh-TW" w:eastAsia="zh-TW"/>
              </w:rPr>
              <w:t>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或漏缺1-2项的得5分；</w:t>
            </w:r>
          </w:p>
          <w:p w14:paraId="329704E8">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内容基本全面，基本</w:t>
            </w:r>
            <w:r>
              <w:rPr>
                <w:rFonts w:hint="eastAsia" w:ascii="仿宋" w:hAnsi="仿宋" w:eastAsia="仿宋" w:cs="仿宋"/>
                <w:sz w:val="21"/>
                <w:szCs w:val="21"/>
                <w:lang w:val="zh-TW" w:eastAsia="zh-TW"/>
              </w:rPr>
              <w:t>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或漏缺3-4项的得3分；</w:t>
            </w:r>
          </w:p>
          <w:p w14:paraId="558C8927">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具有明显不合理、描述欠缺、存在实施难度或不提供，或漏缺5项及以上的得0分。</w:t>
            </w:r>
          </w:p>
        </w:tc>
      </w:tr>
      <w:tr w14:paraId="227F1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7" w:hRule="atLeast"/>
          <w:tblHeader/>
          <w:jc w:val="center"/>
        </w:trPr>
        <w:tc>
          <w:tcPr>
            <w:tcW w:w="519" w:type="dxa"/>
            <w:tcBorders>
              <w:left w:val="single" w:color="auto" w:sz="4" w:space="0"/>
              <w:right w:val="single" w:color="auto" w:sz="4" w:space="0"/>
            </w:tcBorders>
            <w:noWrap w:val="0"/>
            <w:vAlign w:val="center"/>
          </w:tcPr>
          <w:p w14:paraId="7A35B061">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三</w:t>
            </w:r>
          </w:p>
        </w:tc>
        <w:tc>
          <w:tcPr>
            <w:tcW w:w="2631" w:type="dxa"/>
            <w:gridSpan w:val="2"/>
            <w:tcBorders>
              <w:left w:val="single" w:color="auto" w:sz="4" w:space="0"/>
              <w:right w:val="single" w:color="auto" w:sz="4" w:space="0"/>
            </w:tcBorders>
            <w:noWrap w:val="0"/>
            <w:vAlign w:val="center"/>
          </w:tcPr>
          <w:p w14:paraId="29CEAD64">
            <w:pPr>
              <w:jc w:val="center"/>
              <w:rPr>
                <w:rFonts w:hint="eastAsia" w:ascii="仿宋" w:hAnsi="仿宋" w:eastAsia="仿宋" w:cs="仿宋"/>
                <w:kern w:val="0"/>
                <w:sz w:val="21"/>
                <w:szCs w:val="21"/>
                <w:lang w:val="zh-CN"/>
              </w:rPr>
            </w:pPr>
            <w:r>
              <w:rPr>
                <w:rFonts w:hint="eastAsia" w:ascii="仿宋" w:hAnsi="仿宋" w:eastAsia="仿宋" w:cs="仿宋"/>
                <w:kern w:val="0"/>
                <w:sz w:val="21"/>
                <w:szCs w:val="21"/>
                <w:lang w:val="zh-CN"/>
              </w:rPr>
              <w:t>配时辅助软件工具演示</w:t>
            </w:r>
          </w:p>
          <w:p w14:paraId="366D9D0C">
            <w:pPr>
              <w:jc w:val="center"/>
              <w:rPr>
                <w:rFonts w:hint="eastAsia" w:ascii="仿宋" w:hAnsi="仿宋" w:eastAsia="仿宋" w:cs="仿宋"/>
                <w:sz w:val="21"/>
                <w:szCs w:val="21"/>
              </w:rPr>
            </w:pPr>
            <w:r>
              <w:rPr>
                <w:rFonts w:hint="eastAsia" w:ascii="仿宋" w:hAnsi="仿宋" w:eastAsia="仿宋" w:cs="仿宋"/>
                <w:kern w:val="0"/>
                <w:sz w:val="21"/>
                <w:szCs w:val="21"/>
                <w:lang w:val="zh-CN"/>
              </w:rPr>
              <w:t>（</w:t>
            </w:r>
            <w:r>
              <w:rPr>
                <w:rFonts w:hint="eastAsia" w:ascii="仿宋" w:hAnsi="仿宋" w:eastAsia="仿宋" w:cs="仿宋"/>
                <w:kern w:val="0"/>
                <w:sz w:val="21"/>
                <w:szCs w:val="21"/>
              </w:rPr>
              <w:t>1</w:t>
            </w:r>
            <w:r>
              <w:rPr>
                <w:rFonts w:hint="eastAsia" w:ascii="仿宋" w:hAnsi="仿宋" w:eastAsia="仿宋" w:cs="仿宋"/>
                <w:kern w:val="0"/>
                <w:sz w:val="21"/>
                <w:szCs w:val="21"/>
                <w:lang w:val="en-US" w:eastAsia="zh-CN"/>
              </w:rPr>
              <w:t>0</w:t>
            </w:r>
            <w:r>
              <w:rPr>
                <w:rFonts w:hint="eastAsia" w:ascii="仿宋" w:hAnsi="仿宋" w:eastAsia="仿宋" w:cs="仿宋"/>
                <w:kern w:val="0"/>
                <w:sz w:val="21"/>
                <w:szCs w:val="21"/>
                <w:lang w:val="zh-CN"/>
              </w:rPr>
              <w:t>分）</w:t>
            </w:r>
          </w:p>
        </w:tc>
        <w:tc>
          <w:tcPr>
            <w:tcW w:w="7277" w:type="dxa"/>
            <w:gridSpan w:val="2"/>
            <w:tcBorders>
              <w:top w:val="single" w:color="auto" w:sz="4" w:space="0"/>
              <w:left w:val="single" w:color="auto" w:sz="4" w:space="0"/>
              <w:right w:val="single" w:color="auto" w:sz="4" w:space="0"/>
            </w:tcBorders>
            <w:noWrap w:val="0"/>
            <w:vAlign w:val="center"/>
          </w:tcPr>
          <w:p w14:paraId="3188BD8F">
            <w:pPr>
              <w:numPr>
                <w:ilvl w:val="0"/>
                <w:numId w:val="5"/>
              </w:num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配时辅助软件工具演示时间不超过10分钟，演示内容应包括精细化路网配置、信号灯组配置、智能设备关联配置、路口交通仿真、路口视频监控、路口通行指数、信号控制方案管理七项功能。</w:t>
            </w:r>
          </w:p>
          <w:p w14:paraId="2597377E">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内容较全面，较</w:t>
            </w:r>
            <w:r>
              <w:rPr>
                <w:rFonts w:hint="eastAsia" w:ascii="仿宋" w:hAnsi="仿宋" w:eastAsia="仿宋" w:cs="仿宋"/>
                <w:sz w:val="21"/>
                <w:szCs w:val="21"/>
                <w:lang w:val="zh-TW" w:eastAsia="zh-TW"/>
              </w:rPr>
              <w:t>合理，</w:t>
            </w:r>
            <w:r>
              <w:rPr>
                <w:rFonts w:hint="eastAsia" w:ascii="仿宋" w:hAnsi="仿宋" w:eastAsia="仿宋" w:cs="仿宋"/>
                <w:sz w:val="21"/>
                <w:szCs w:val="21"/>
                <w:lang w:val="en-US" w:eastAsia="zh-CN"/>
              </w:rPr>
              <w:t>能够满足</w:t>
            </w:r>
            <w:r>
              <w:rPr>
                <w:rFonts w:hint="eastAsia" w:ascii="仿宋" w:hAnsi="仿宋" w:eastAsia="仿宋" w:cs="仿宋"/>
                <w:sz w:val="21"/>
                <w:szCs w:val="21"/>
                <w:lang w:val="zh-TW" w:eastAsia="zh-TW"/>
              </w:rPr>
              <w:t>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或漏缺1-2项的得8分；</w:t>
            </w:r>
          </w:p>
          <w:p w14:paraId="4F3A60C0">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内容基本全面，基本</w:t>
            </w:r>
            <w:r>
              <w:rPr>
                <w:rFonts w:hint="eastAsia" w:ascii="仿宋" w:hAnsi="仿宋" w:eastAsia="仿宋" w:cs="仿宋"/>
                <w:sz w:val="21"/>
                <w:szCs w:val="21"/>
                <w:lang w:val="zh-TW" w:eastAsia="zh-TW"/>
              </w:rPr>
              <w:t>符合项目特点及要求</w:t>
            </w:r>
            <w:r>
              <w:rPr>
                <w:rFonts w:hint="eastAsia" w:ascii="仿宋" w:hAnsi="仿宋" w:eastAsia="仿宋" w:cs="仿宋"/>
                <w:sz w:val="21"/>
                <w:szCs w:val="21"/>
                <w:lang w:val="zh-TW" w:eastAsia="zh-CN"/>
              </w:rPr>
              <w:t>，</w:t>
            </w:r>
            <w:r>
              <w:rPr>
                <w:rFonts w:hint="eastAsia" w:ascii="仿宋" w:hAnsi="仿宋" w:eastAsia="仿宋" w:cs="仿宋"/>
                <w:sz w:val="21"/>
                <w:szCs w:val="21"/>
                <w:lang w:val="en-US" w:eastAsia="zh-CN"/>
              </w:rPr>
              <w:t>或漏缺3-4项的得6分；</w:t>
            </w:r>
          </w:p>
          <w:p w14:paraId="4D3C6866">
            <w:pPr>
              <w:numPr>
                <w:ilvl w:val="0"/>
                <w:numId w:val="0"/>
              </w:num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具有明显不合理、描述欠缺、存在实施难度或不提供，或漏缺5项及以上的得0分。</w:t>
            </w:r>
          </w:p>
          <w:p w14:paraId="56075A9C">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2、采用真实软件录屏方式进行演示，得2分；采用DEMO或PPT等其他方式进行演示，得1分。</w:t>
            </w:r>
          </w:p>
          <w:p w14:paraId="7B7AF87F">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（备注：投标人在开标前自行录制软件工具演示陈述视频，评审现场不安排现场陈述。视频格式为MP</w:t>
            </w:r>
            <w:bookmarkStart w:id="109" w:name="_GoBack"/>
            <w:bookmarkEnd w:id="109"/>
            <w:r>
              <w:rPr>
                <w:rFonts w:hint="eastAsia" w:ascii="仿宋" w:hAnsi="仿宋" w:eastAsia="仿宋" w:cs="仿宋"/>
                <w:sz w:val="21"/>
                <w:szCs w:val="21"/>
                <w:lang w:val="en-US" w:eastAsia="zh-CN"/>
              </w:rPr>
              <w:t>4、AVI或MPEG形式，上传到评标系统，系统容量无法接收演示内容时，投标人需以U盘拷贝的形式，单独封装并在投标截止时间前交到开标现场（高邮城南经济新区中心大道66号大厦七楼开标室）。未提供者此项不得分。）</w:t>
            </w:r>
          </w:p>
        </w:tc>
      </w:tr>
      <w:tr w14:paraId="62E5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blHeader/>
          <w:jc w:val="center"/>
        </w:trPr>
        <w:tc>
          <w:tcPr>
            <w:tcW w:w="519" w:type="dxa"/>
            <w:vMerge w:val="restart"/>
            <w:tcBorders>
              <w:top w:val="single" w:color="auto" w:sz="4" w:space="0"/>
              <w:left w:val="single" w:color="auto" w:sz="4" w:space="0"/>
              <w:right w:val="single" w:color="auto" w:sz="4" w:space="0"/>
            </w:tcBorders>
            <w:noWrap w:val="0"/>
            <w:vAlign w:val="center"/>
          </w:tcPr>
          <w:p w14:paraId="1C194235">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四</w:t>
            </w:r>
          </w:p>
        </w:tc>
        <w:tc>
          <w:tcPr>
            <w:tcW w:w="1298" w:type="dxa"/>
            <w:vMerge w:val="restart"/>
            <w:tcBorders>
              <w:top w:val="single" w:color="auto" w:sz="4" w:space="0"/>
              <w:left w:val="single" w:color="auto" w:sz="4" w:space="0"/>
              <w:right w:val="single" w:color="auto" w:sz="4" w:space="0"/>
            </w:tcBorders>
            <w:noWrap w:val="0"/>
            <w:vAlign w:val="center"/>
          </w:tcPr>
          <w:p w14:paraId="7C657F11">
            <w:pPr>
              <w:spacing w:line="276" w:lineRule="auto"/>
              <w:jc w:val="center"/>
              <w:rPr>
                <w:rFonts w:hint="eastAsia" w:ascii="仿宋" w:hAnsi="仿宋" w:eastAsia="仿宋" w:cs="仿宋"/>
                <w:sz w:val="21"/>
                <w:szCs w:val="21"/>
              </w:rPr>
            </w:pPr>
            <w:r>
              <w:rPr>
                <w:rFonts w:hint="eastAsia" w:ascii="仿宋" w:hAnsi="仿宋" w:eastAsia="仿宋" w:cs="仿宋"/>
                <w:sz w:val="21"/>
                <w:szCs w:val="21"/>
              </w:rPr>
              <w:t>商务部分（</w:t>
            </w:r>
            <w:r>
              <w:rPr>
                <w:rFonts w:hint="eastAsia" w:ascii="仿宋" w:hAnsi="仿宋" w:eastAsia="仿宋" w:cs="仿宋"/>
                <w:sz w:val="21"/>
                <w:szCs w:val="21"/>
                <w:lang w:val="en-US" w:eastAsia="zh-CN"/>
              </w:rPr>
              <w:t>18</w:t>
            </w:r>
            <w:r>
              <w:rPr>
                <w:rFonts w:hint="eastAsia" w:ascii="仿宋" w:hAnsi="仿宋" w:eastAsia="仿宋" w:cs="仿宋"/>
                <w:sz w:val="21"/>
                <w:szCs w:val="21"/>
              </w:rPr>
              <w:t>分）</w:t>
            </w:r>
          </w:p>
        </w:tc>
        <w:tc>
          <w:tcPr>
            <w:tcW w:w="1333" w:type="dxa"/>
            <w:tcBorders>
              <w:top w:val="single" w:color="auto" w:sz="4" w:space="0"/>
              <w:left w:val="single" w:color="auto" w:sz="4" w:space="0"/>
              <w:right w:val="single" w:color="auto" w:sz="4" w:space="0"/>
            </w:tcBorders>
            <w:noWrap w:val="0"/>
            <w:vAlign w:val="center"/>
          </w:tcPr>
          <w:p w14:paraId="27D81395">
            <w:pPr>
              <w:widowControl/>
              <w:spacing w:line="276" w:lineRule="auto"/>
              <w:jc w:val="center"/>
              <w:textAlignment w:val="center"/>
              <w:rPr>
                <w:rFonts w:hint="eastAsia" w:ascii="仿宋" w:hAnsi="仿宋" w:eastAsia="仿宋" w:cs="仿宋"/>
                <w:sz w:val="21"/>
                <w:szCs w:val="21"/>
              </w:rPr>
            </w:pPr>
            <w:r>
              <w:rPr>
                <w:rFonts w:hint="eastAsia" w:ascii="仿宋" w:hAnsi="仿宋" w:eastAsia="仿宋" w:cs="仿宋"/>
                <w:sz w:val="21"/>
                <w:szCs w:val="21"/>
              </w:rPr>
              <w:t>企业业绩（</w:t>
            </w:r>
            <w:r>
              <w:rPr>
                <w:rFonts w:hint="eastAsia" w:ascii="仿宋" w:hAnsi="仿宋" w:eastAsia="仿宋" w:cs="仿宋"/>
                <w:sz w:val="21"/>
                <w:szCs w:val="21"/>
                <w:lang w:val="en-US" w:eastAsia="zh-CN"/>
              </w:rPr>
              <w:t>6</w:t>
            </w:r>
            <w:r>
              <w:rPr>
                <w:rFonts w:hint="eastAsia" w:ascii="仿宋" w:hAnsi="仿宋" w:eastAsia="仿宋" w:cs="仿宋"/>
                <w:sz w:val="21"/>
                <w:szCs w:val="21"/>
              </w:rPr>
              <w:t>分）</w:t>
            </w:r>
          </w:p>
        </w:tc>
        <w:tc>
          <w:tcPr>
            <w:tcW w:w="7277" w:type="dxa"/>
            <w:gridSpan w:val="2"/>
            <w:tcBorders>
              <w:top w:val="single" w:color="auto" w:sz="4" w:space="0"/>
              <w:left w:val="single" w:color="auto" w:sz="4" w:space="0"/>
              <w:right w:val="single" w:color="auto" w:sz="4" w:space="0"/>
            </w:tcBorders>
            <w:noWrap w:val="0"/>
            <w:vAlign w:val="center"/>
          </w:tcPr>
          <w:p w14:paraId="249C2650">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根据投标人自2022年1月1日（以合同签订时间为准）以来相关业绩：具有类似项目业绩的，每份业绩得2分，最高得6分；（需提供项目合同书原件上传）</w:t>
            </w:r>
          </w:p>
        </w:tc>
      </w:tr>
      <w:tr w14:paraId="58F01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blHeader/>
          <w:jc w:val="center"/>
        </w:trPr>
        <w:tc>
          <w:tcPr>
            <w:tcW w:w="519" w:type="dxa"/>
            <w:vMerge w:val="continue"/>
            <w:tcBorders>
              <w:left w:val="single" w:color="auto" w:sz="4" w:space="0"/>
              <w:right w:val="single" w:color="auto" w:sz="4" w:space="0"/>
            </w:tcBorders>
            <w:noWrap w:val="0"/>
            <w:vAlign w:val="center"/>
          </w:tcPr>
          <w:p w14:paraId="60BB8F24">
            <w:pPr>
              <w:jc w:val="center"/>
              <w:rPr>
                <w:rFonts w:hint="eastAsia" w:ascii="仿宋" w:hAnsi="仿宋" w:eastAsia="仿宋" w:cs="仿宋"/>
                <w:sz w:val="21"/>
                <w:szCs w:val="21"/>
              </w:rPr>
            </w:pPr>
          </w:p>
        </w:tc>
        <w:tc>
          <w:tcPr>
            <w:tcW w:w="1298" w:type="dxa"/>
            <w:vMerge w:val="continue"/>
            <w:tcBorders>
              <w:left w:val="single" w:color="auto" w:sz="4" w:space="0"/>
              <w:right w:val="single" w:color="auto" w:sz="4" w:space="0"/>
            </w:tcBorders>
            <w:noWrap w:val="0"/>
            <w:vAlign w:val="center"/>
          </w:tcPr>
          <w:p w14:paraId="0D51A609">
            <w:pPr>
              <w:spacing w:line="276" w:lineRule="auto"/>
              <w:jc w:val="center"/>
              <w:rPr>
                <w:rFonts w:hint="eastAsia" w:ascii="仿宋" w:hAnsi="仿宋" w:eastAsia="仿宋" w:cs="仿宋"/>
                <w:sz w:val="21"/>
                <w:szCs w:val="21"/>
              </w:rPr>
            </w:pPr>
          </w:p>
        </w:tc>
        <w:tc>
          <w:tcPr>
            <w:tcW w:w="1333" w:type="dxa"/>
            <w:vMerge w:val="restart"/>
            <w:tcBorders>
              <w:left w:val="single" w:color="auto" w:sz="4" w:space="0"/>
              <w:right w:val="single" w:color="auto" w:sz="4" w:space="0"/>
            </w:tcBorders>
            <w:noWrap w:val="0"/>
            <w:vAlign w:val="center"/>
          </w:tcPr>
          <w:p w14:paraId="517F077C">
            <w:pPr>
              <w:widowControl/>
              <w:spacing w:line="276" w:lineRule="auto"/>
              <w:jc w:val="center"/>
              <w:textAlignment w:val="center"/>
              <w:rPr>
                <w:rFonts w:hint="eastAsia" w:ascii="仿宋" w:hAnsi="仿宋" w:eastAsia="仿宋" w:cs="仿宋"/>
                <w:sz w:val="21"/>
                <w:szCs w:val="21"/>
              </w:rPr>
            </w:pPr>
            <w:r>
              <w:rPr>
                <w:rFonts w:hint="eastAsia" w:ascii="仿宋" w:hAnsi="仿宋" w:eastAsia="仿宋" w:cs="仿宋"/>
                <w:sz w:val="21"/>
                <w:szCs w:val="21"/>
              </w:rPr>
              <w:t>服务团队</w:t>
            </w:r>
          </w:p>
          <w:p w14:paraId="4FDF4A61">
            <w:pPr>
              <w:widowControl/>
              <w:spacing w:line="276" w:lineRule="auto"/>
              <w:jc w:val="center"/>
              <w:textAlignment w:val="center"/>
              <w:rPr>
                <w:rFonts w:hint="eastAsia" w:ascii="仿宋" w:hAnsi="仿宋" w:eastAsia="仿宋" w:cs="仿宋"/>
                <w:sz w:val="21"/>
                <w:szCs w:val="21"/>
              </w:rPr>
            </w:pPr>
            <w:r>
              <w:rPr>
                <w:rFonts w:hint="eastAsia" w:ascii="仿宋" w:hAnsi="仿宋" w:eastAsia="仿宋" w:cs="仿宋"/>
                <w:sz w:val="21"/>
                <w:szCs w:val="21"/>
              </w:rPr>
              <w:t>实力</w:t>
            </w:r>
          </w:p>
          <w:p w14:paraId="250C14A6">
            <w:pPr>
              <w:widowControl/>
              <w:spacing w:line="276" w:lineRule="auto"/>
              <w:jc w:val="center"/>
              <w:textAlignment w:val="center"/>
              <w:rPr>
                <w:rFonts w:hint="eastAsia" w:ascii="仿宋" w:hAnsi="仿宋" w:eastAsia="仿宋" w:cs="仿宋"/>
                <w:sz w:val="21"/>
                <w:szCs w:val="21"/>
              </w:rPr>
            </w:pPr>
            <w:r>
              <w:rPr>
                <w:rFonts w:hint="eastAsia" w:ascii="仿宋" w:hAnsi="仿宋" w:eastAsia="仿宋" w:cs="仿宋"/>
                <w:sz w:val="21"/>
                <w:szCs w:val="21"/>
              </w:rPr>
              <w:t>（</w:t>
            </w:r>
            <w:r>
              <w:rPr>
                <w:rFonts w:hint="eastAsia" w:ascii="仿宋" w:hAnsi="仿宋" w:eastAsia="仿宋" w:cs="仿宋"/>
                <w:sz w:val="21"/>
                <w:szCs w:val="21"/>
                <w:lang w:val="en-US" w:eastAsia="zh-CN"/>
              </w:rPr>
              <w:t>12</w:t>
            </w:r>
            <w:r>
              <w:rPr>
                <w:rFonts w:hint="eastAsia" w:ascii="仿宋" w:hAnsi="仿宋" w:eastAsia="仿宋" w:cs="仿宋"/>
                <w:sz w:val="21"/>
                <w:szCs w:val="21"/>
              </w:rPr>
              <w:t>分）</w:t>
            </w:r>
          </w:p>
        </w:tc>
        <w:tc>
          <w:tcPr>
            <w:tcW w:w="1192" w:type="dxa"/>
            <w:tcBorders>
              <w:top w:val="single" w:color="auto" w:sz="4" w:space="0"/>
              <w:left w:val="single" w:color="auto" w:sz="4" w:space="0"/>
              <w:right w:val="single" w:color="auto" w:sz="4" w:space="0"/>
            </w:tcBorders>
            <w:noWrap w:val="0"/>
            <w:vAlign w:val="center"/>
          </w:tcPr>
          <w:p w14:paraId="2FCD1810">
            <w:pPr>
              <w:widowControl/>
              <w:spacing w:line="276" w:lineRule="auto"/>
              <w:jc w:val="center"/>
              <w:textAlignment w:val="center"/>
              <w:rPr>
                <w:rFonts w:hint="eastAsia" w:ascii="仿宋" w:hAnsi="仿宋" w:eastAsia="仿宋" w:cs="仿宋"/>
                <w:sz w:val="21"/>
                <w:szCs w:val="21"/>
              </w:rPr>
            </w:pPr>
            <w:r>
              <w:rPr>
                <w:rFonts w:hint="eastAsia" w:ascii="仿宋" w:hAnsi="仿宋" w:eastAsia="仿宋" w:cs="仿宋"/>
                <w:sz w:val="21"/>
                <w:szCs w:val="21"/>
              </w:rPr>
              <w:t>项目主管（</w:t>
            </w:r>
            <w:r>
              <w:rPr>
                <w:rFonts w:hint="eastAsia" w:ascii="仿宋" w:hAnsi="仿宋" w:eastAsia="仿宋" w:cs="仿宋"/>
                <w:sz w:val="21"/>
                <w:szCs w:val="21"/>
                <w:lang w:val="en-US" w:eastAsia="zh-CN"/>
              </w:rPr>
              <w:t>4</w:t>
            </w:r>
            <w:r>
              <w:rPr>
                <w:rFonts w:hint="eastAsia" w:ascii="仿宋" w:hAnsi="仿宋" w:eastAsia="仿宋" w:cs="仿宋"/>
                <w:sz w:val="21"/>
                <w:szCs w:val="21"/>
              </w:rPr>
              <w:t>分）</w:t>
            </w:r>
          </w:p>
        </w:tc>
        <w:tc>
          <w:tcPr>
            <w:tcW w:w="6085" w:type="dxa"/>
            <w:tcBorders>
              <w:top w:val="single" w:color="auto" w:sz="4" w:space="0"/>
              <w:left w:val="single" w:color="auto" w:sz="4" w:space="0"/>
              <w:bottom w:val="single" w:color="auto" w:sz="4" w:space="0"/>
              <w:right w:val="single" w:color="auto" w:sz="4" w:space="0"/>
            </w:tcBorders>
            <w:noWrap w:val="0"/>
            <w:vAlign w:val="center"/>
          </w:tcPr>
          <w:p w14:paraId="48B3517B">
            <w:pPr>
              <w:rPr>
                <w:rFonts w:hint="eastAsia" w:ascii="仿宋" w:hAnsi="仿宋" w:eastAsia="仿宋" w:cs="仿宋"/>
                <w:b/>
                <w:sz w:val="21"/>
                <w:szCs w:val="21"/>
              </w:rPr>
            </w:pPr>
            <w:r>
              <w:rPr>
                <w:rFonts w:hint="eastAsia" w:ascii="仿宋" w:hAnsi="仿宋" w:eastAsia="仿宋" w:cs="仿宋"/>
                <w:sz w:val="21"/>
                <w:szCs w:val="21"/>
                <w:lang w:val="zh-CN"/>
              </w:rPr>
              <w:t>项目主管具有：①系统集成项目管理工程师资格证书；②中级或以上交通工程相关专业工程师职称证书。每项得</w:t>
            </w:r>
            <w:r>
              <w:rPr>
                <w:rFonts w:hint="eastAsia" w:ascii="仿宋" w:hAnsi="仿宋" w:eastAsia="仿宋" w:cs="仿宋"/>
                <w:sz w:val="21"/>
                <w:szCs w:val="21"/>
                <w:lang w:val="en-US" w:eastAsia="zh-CN"/>
              </w:rPr>
              <w:t>2</w:t>
            </w:r>
            <w:r>
              <w:rPr>
                <w:rFonts w:hint="eastAsia" w:ascii="仿宋" w:hAnsi="仿宋" w:eastAsia="仿宋" w:cs="仿宋"/>
                <w:sz w:val="21"/>
                <w:szCs w:val="21"/>
                <w:lang w:val="zh-CN"/>
              </w:rPr>
              <w:t>分，最高得</w:t>
            </w:r>
            <w:r>
              <w:rPr>
                <w:rFonts w:hint="eastAsia" w:ascii="仿宋" w:hAnsi="仿宋" w:eastAsia="仿宋" w:cs="仿宋"/>
                <w:sz w:val="21"/>
                <w:szCs w:val="21"/>
                <w:lang w:val="en-US" w:eastAsia="zh-CN"/>
              </w:rPr>
              <w:t>4</w:t>
            </w:r>
            <w:r>
              <w:rPr>
                <w:rFonts w:hint="eastAsia" w:ascii="仿宋" w:hAnsi="仿宋" w:eastAsia="仿宋" w:cs="仿宋"/>
                <w:sz w:val="21"/>
                <w:szCs w:val="21"/>
                <w:lang w:val="zh-CN"/>
              </w:rPr>
              <w:t>分。</w:t>
            </w:r>
            <w:r>
              <w:rPr>
                <w:rFonts w:hint="eastAsia" w:ascii="仿宋" w:hAnsi="仿宋" w:eastAsia="仿宋" w:cs="仿宋"/>
                <w:b/>
                <w:bCs/>
                <w:sz w:val="21"/>
                <w:szCs w:val="21"/>
              </w:rPr>
              <w:t>（提供证书复印件及近</w:t>
            </w:r>
            <w:r>
              <w:rPr>
                <w:rFonts w:hint="eastAsia" w:ascii="仿宋" w:hAnsi="仿宋" w:eastAsia="仿宋" w:cs="仿宋"/>
                <w:b/>
                <w:bCs/>
                <w:sz w:val="21"/>
                <w:szCs w:val="21"/>
                <w:lang w:val="en-US" w:eastAsia="zh-CN"/>
              </w:rPr>
              <w:t>3</w:t>
            </w:r>
            <w:r>
              <w:rPr>
                <w:rFonts w:hint="eastAsia" w:ascii="仿宋" w:hAnsi="仿宋" w:eastAsia="仿宋" w:cs="仿宋"/>
                <w:b/>
                <w:bCs/>
                <w:sz w:val="21"/>
                <w:szCs w:val="21"/>
              </w:rPr>
              <w:t>个月</w:t>
            </w:r>
            <w:r>
              <w:rPr>
                <w:rFonts w:hint="eastAsia" w:ascii="仿宋" w:hAnsi="仿宋" w:eastAsia="仿宋" w:cs="仿宋"/>
                <w:b/>
                <w:bCs/>
                <w:sz w:val="21"/>
                <w:szCs w:val="21"/>
                <w:lang w:val="en-US" w:eastAsia="zh-CN"/>
              </w:rPr>
              <w:t>任一个月</w:t>
            </w:r>
            <w:r>
              <w:rPr>
                <w:rFonts w:hint="eastAsia" w:ascii="仿宋" w:hAnsi="仿宋" w:eastAsia="仿宋" w:cs="仿宋"/>
                <w:b/>
                <w:bCs/>
                <w:sz w:val="21"/>
                <w:szCs w:val="21"/>
              </w:rPr>
              <w:t>由投标人为其缴纳的社保证明</w:t>
            </w:r>
            <w:r>
              <w:rPr>
                <w:rFonts w:hint="eastAsia" w:ascii="仿宋" w:hAnsi="仿宋" w:eastAsia="仿宋" w:cs="仿宋"/>
                <w:b/>
                <w:bCs/>
                <w:sz w:val="21"/>
                <w:szCs w:val="21"/>
                <w:lang w:val="en-US" w:eastAsia="zh-CN"/>
              </w:rPr>
              <w:t>上传</w:t>
            </w:r>
            <w:r>
              <w:rPr>
                <w:rFonts w:hint="eastAsia" w:ascii="仿宋" w:hAnsi="仿宋" w:eastAsia="仿宋" w:cs="仿宋"/>
                <w:b/>
                <w:bCs/>
                <w:sz w:val="21"/>
                <w:szCs w:val="21"/>
              </w:rPr>
              <w:t>）</w:t>
            </w:r>
          </w:p>
        </w:tc>
      </w:tr>
      <w:tr w14:paraId="7AA54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blHeader/>
          <w:jc w:val="center"/>
        </w:trPr>
        <w:tc>
          <w:tcPr>
            <w:tcW w:w="519" w:type="dxa"/>
            <w:vMerge w:val="continue"/>
            <w:tcBorders>
              <w:left w:val="single" w:color="auto" w:sz="4" w:space="0"/>
              <w:right w:val="single" w:color="auto" w:sz="4" w:space="0"/>
            </w:tcBorders>
            <w:noWrap w:val="0"/>
            <w:vAlign w:val="center"/>
          </w:tcPr>
          <w:p w14:paraId="276F7012">
            <w:pPr>
              <w:jc w:val="center"/>
              <w:rPr>
                <w:rFonts w:hint="eastAsia" w:ascii="仿宋" w:hAnsi="仿宋" w:eastAsia="仿宋" w:cs="仿宋"/>
                <w:sz w:val="21"/>
                <w:szCs w:val="21"/>
              </w:rPr>
            </w:pPr>
          </w:p>
        </w:tc>
        <w:tc>
          <w:tcPr>
            <w:tcW w:w="1298" w:type="dxa"/>
            <w:vMerge w:val="continue"/>
            <w:tcBorders>
              <w:left w:val="single" w:color="auto" w:sz="4" w:space="0"/>
              <w:right w:val="single" w:color="auto" w:sz="4" w:space="0"/>
            </w:tcBorders>
            <w:noWrap w:val="0"/>
            <w:vAlign w:val="center"/>
          </w:tcPr>
          <w:p w14:paraId="7432E4CB">
            <w:pPr>
              <w:spacing w:line="276" w:lineRule="auto"/>
              <w:jc w:val="center"/>
              <w:rPr>
                <w:rFonts w:hint="eastAsia" w:ascii="仿宋" w:hAnsi="仿宋" w:eastAsia="仿宋" w:cs="仿宋"/>
                <w:sz w:val="21"/>
                <w:szCs w:val="21"/>
              </w:rPr>
            </w:pPr>
          </w:p>
        </w:tc>
        <w:tc>
          <w:tcPr>
            <w:tcW w:w="1333" w:type="dxa"/>
            <w:vMerge w:val="continue"/>
            <w:tcBorders>
              <w:left w:val="single" w:color="auto" w:sz="4" w:space="0"/>
              <w:right w:val="single" w:color="auto" w:sz="4" w:space="0"/>
            </w:tcBorders>
            <w:noWrap w:val="0"/>
            <w:vAlign w:val="center"/>
          </w:tcPr>
          <w:p w14:paraId="42B89E8B">
            <w:pPr>
              <w:widowControl/>
              <w:spacing w:line="276" w:lineRule="auto"/>
              <w:jc w:val="center"/>
              <w:textAlignment w:val="center"/>
              <w:rPr>
                <w:rFonts w:hint="eastAsia" w:ascii="仿宋" w:hAnsi="仿宋" w:eastAsia="仿宋" w:cs="仿宋"/>
                <w:sz w:val="21"/>
                <w:szCs w:val="21"/>
              </w:rPr>
            </w:pPr>
          </w:p>
        </w:tc>
        <w:tc>
          <w:tcPr>
            <w:tcW w:w="1192" w:type="dxa"/>
            <w:tcBorders>
              <w:top w:val="single" w:color="auto" w:sz="4" w:space="0"/>
              <w:left w:val="single" w:color="auto" w:sz="4" w:space="0"/>
              <w:right w:val="single" w:color="auto" w:sz="4" w:space="0"/>
            </w:tcBorders>
            <w:shd w:val="clear" w:color="auto" w:fill="auto"/>
            <w:noWrap w:val="0"/>
            <w:vAlign w:val="center"/>
          </w:tcPr>
          <w:p w14:paraId="075D34CC">
            <w:pPr>
              <w:widowControl/>
              <w:spacing w:line="276" w:lineRule="auto"/>
              <w:jc w:val="center"/>
              <w:textAlignment w:val="center"/>
              <w:rPr>
                <w:rFonts w:hint="eastAsia" w:ascii="仿宋" w:hAnsi="仿宋" w:eastAsia="仿宋" w:cs="仿宋"/>
                <w:sz w:val="21"/>
                <w:szCs w:val="21"/>
                <w:lang w:val="en-US" w:eastAsia="zh-CN" w:bidi="ar-SA"/>
              </w:rPr>
            </w:pPr>
            <w:r>
              <w:rPr>
                <w:rFonts w:hint="eastAsia" w:ascii="仿宋" w:hAnsi="仿宋" w:eastAsia="仿宋" w:cs="仿宋"/>
                <w:sz w:val="21"/>
                <w:szCs w:val="21"/>
              </w:rPr>
              <w:t>技术总工（</w:t>
            </w:r>
            <w:r>
              <w:rPr>
                <w:rFonts w:hint="eastAsia" w:ascii="仿宋" w:hAnsi="仿宋" w:eastAsia="仿宋" w:cs="仿宋"/>
                <w:sz w:val="21"/>
                <w:szCs w:val="21"/>
                <w:lang w:val="en-US" w:eastAsia="zh-CN"/>
              </w:rPr>
              <w:t>4</w:t>
            </w:r>
            <w:r>
              <w:rPr>
                <w:rFonts w:hint="eastAsia" w:ascii="仿宋" w:hAnsi="仿宋" w:eastAsia="仿宋" w:cs="仿宋"/>
                <w:sz w:val="21"/>
                <w:szCs w:val="21"/>
              </w:rPr>
              <w:t>分）</w:t>
            </w:r>
          </w:p>
        </w:tc>
        <w:tc>
          <w:tcPr>
            <w:tcW w:w="608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9B26E9">
            <w:pPr>
              <w:rPr>
                <w:rFonts w:hint="eastAsia" w:ascii="仿宋" w:hAnsi="仿宋" w:eastAsia="仿宋" w:cs="仿宋"/>
                <w:b/>
                <w:bCs/>
                <w:sz w:val="21"/>
                <w:szCs w:val="21"/>
                <w:lang w:val="en-US" w:eastAsia="zh-CN" w:bidi="ar-SA"/>
              </w:rPr>
            </w:pPr>
            <w:r>
              <w:rPr>
                <w:rFonts w:hint="eastAsia" w:ascii="仿宋" w:hAnsi="仿宋" w:eastAsia="仿宋" w:cs="仿宋"/>
                <w:sz w:val="21"/>
                <w:szCs w:val="21"/>
                <w:lang w:val="zh-CN"/>
              </w:rPr>
              <w:t>技术总工具有：①系统集成项目管理工程师资格证书；②中级或以上交通工程相关专业工程师职称证书。每项得</w:t>
            </w:r>
            <w:r>
              <w:rPr>
                <w:rFonts w:hint="eastAsia" w:ascii="仿宋" w:hAnsi="仿宋" w:eastAsia="仿宋" w:cs="仿宋"/>
                <w:sz w:val="21"/>
                <w:szCs w:val="21"/>
                <w:lang w:val="en-US" w:eastAsia="zh-CN"/>
              </w:rPr>
              <w:t>2</w:t>
            </w:r>
            <w:r>
              <w:rPr>
                <w:rFonts w:hint="eastAsia" w:ascii="仿宋" w:hAnsi="仿宋" w:eastAsia="仿宋" w:cs="仿宋"/>
                <w:sz w:val="21"/>
                <w:szCs w:val="21"/>
                <w:lang w:val="zh-CN"/>
              </w:rPr>
              <w:t>分，最高得</w:t>
            </w:r>
            <w:r>
              <w:rPr>
                <w:rFonts w:hint="eastAsia" w:ascii="仿宋" w:hAnsi="仿宋" w:eastAsia="仿宋" w:cs="仿宋"/>
                <w:sz w:val="21"/>
                <w:szCs w:val="21"/>
                <w:lang w:val="en-US" w:eastAsia="zh-CN"/>
              </w:rPr>
              <w:t>4</w:t>
            </w:r>
            <w:r>
              <w:rPr>
                <w:rFonts w:hint="eastAsia" w:ascii="仿宋" w:hAnsi="仿宋" w:eastAsia="仿宋" w:cs="仿宋"/>
                <w:sz w:val="21"/>
                <w:szCs w:val="21"/>
                <w:lang w:val="zh-CN"/>
              </w:rPr>
              <w:t>分。</w:t>
            </w:r>
            <w:r>
              <w:rPr>
                <w:rFonts w:hint="eastAsia" w:ascii="仿宋" w:hAnsi="仿宋" w:eastAsia="仿宋" w:cs="仿宋"/>
                <w:b/>
                <w:bCs/>
                <w:sz w:val="21"/>
                <w:szCs w:val="21"/>
              </w:rPr>
              <w:t>（提供证书复印件及近</w:t>
            </w:r>
            <w:r>
              <w:rPr>
                <w:rFonts w:hint="eastAsia" w:ascii="仿宋" w:hAnsi="仿宋" w:eastAsia="仿宋" w:cs="仿宋"/>
                <w:b/>
                <w:bCs/>
                <w:sz w:val="21"/>
                <w:szCs w:val="21"/>
                <w:lang w:val="en-US" w:eastAsia="zh-CN"/>
              </w:rPr>
              <w:t>3</w:t>
            </w:r>
            <w:r>
              <w:rPr>
                <w:rFonts w:hint="eastAsia" w:ascii="仿宋" w:hAnsi="仿宋" w:eastAsia="仿宋" w:cs="仿宋"/>
                <w:b/>
                <w:bCs/>
                <w:sz w:val="21"/>
                <w:szCs w:val="21"/>
              </w:rPr>
              <w:t>个月</w:t>
            </w:r>
            <w:r>
              <w:rPr>
                <w:rFonts w:hint="eastAsia" w:ascii="仿宋" w:hAnsi="仿宋" w:eastAsia="仿宋" w:cs="仿宋"/>
                <w:b/>
                <w:bCs/>
                <w:sz w:val="21"/>
                <w:szCs w:val="21"/>
                <w:lang w:val="en-US" w:eastAsia="zh-CN"/>
              </w:rPr>
              <w:t>任一个月</w:t>
            </w:r>
            <w:r>
              <w:rPr>
                <w:rFonts w:hint="eastAsia" w:ascii="仿宋" w:hAnsi="仿宋" w:eastAsia="仿宋" w:cs="仿宋"/>
                <w:b/>
                <w:bCs/>
                <w:sz w:val="21"/>
                <w:szCs w:val="21"/>
              </w:rPr>
              <w:t>由投标人为其缴纳的社保证明</w:t>
            </w:r>
            <w:r>
              <w:rPr>
                <w:rFonts w:hint="eastAsia" w:ascii="仿宋" w:hAnsi="仿宋" w:eastAsia="仿宋" w:cs="仿宋"/>
                <w:b/>
                <w:bCs/>
                <w:sz w:val="21"/>
                <w:szCs w:val="21"/>
                <w:lang w:val="en-US" w:eastAsia="zh-CN"/>
              </w:rPr>
              <w:t>上传</w:t>
            </w:r>
            <w:r>
              <w:rPr>
                <w:rFonts w:hint="eastAsia" w:ascii="仿宋" w:hAnsi="仿宋" w:eastAsia="仿宋" w:cs="仿宋"/>
                <w:b/>
                <w:bCs/>
                <w:sz w:val="21"/>
                <w:szCs w:val="21"/>
              </w:rPr>
              <w:t>）</w:t>
            </w:r>
          </w:p>
        </w:tc>
      </w:tr>
      <w:tr w14:paraId="50A20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blHeader/>
          <w:jc w:val="center"/>
        </w:trPr>
        <w:tc>
          <w:tcPr>
            <w:tcW w:w="519" w:type="dxa"/>
            <w:vMerge w:val="continue"/>
            <w:tcBorders>
              <w:left w:val="single" w:color="auto" w:sz="4" w:space="0"/>
              <w:right w:val="single" w:color="auto" w:sz="4" w:space="0"/>
            </w:tcBorders>
            <w:noWrap w:val="0"/>
            <w:vAlign w:val="center"/>
          </w:tcPr>
          <w:p w14:paraId="30DE8540">
            <w:pPr>
              <w:jc w:val="center"/>
              <w:rPr>
                <w:rFonts w:hint="eastAsia" w:ascii="仿宋" w:hAnsi="仿宋" w:eastAsia="仿宋" w:cs="仿宋"/>
                <w:sz w:val="21"/>
                <w:szCs w:val="21"/>
              </w:rPr>
            </w:pPr>
          </w:p>
        </w:tc>
        <w:tc>
          <w:tcPr>
            <w:tcW w:w="1298" w:type="dxa"/>
            <w:vMerge w:val="continue"/>
            <w:tcBorders>
              <w:left w:val="single" w:color="auto" w:sz="4" w:space="0"/>
              <w:right w:val="single" w:color="auto" w:sz="4" w:space="0"/>
            </w:tcBorders>
            <w:noWrap w:val="0"/>
            <w:vAlign w:val="center"/>
          </w:tcPr>
          <w:p w14:paraId="2CC27986">
            <w:pPr>
              <w:spacing w:line="276" w:lineRule="auto"/>
              <w:jc w:val="center"/>
              <w:rPr>
                <w:rFonts w:hint="eastAsia" w:ascii="仿宋" w:hAnsi="仿宋" w:eastAsia="仿宋" w:cs="仿宋"/>
                <w:sz w:val="21"/>
                <w:szCs w:val="21"/>
              </w:rPr>
            </w:pPr>
          </w:p>
        </w:tc>
        <w:tc>
          <w:tcPr>
            <w:tcW w:w="1333" w:type="dxa"/>
            <w:vMerge w:val="continue"/>
            <w:tcBorders>
              <w:left w:val="single" w:color="auto" w:sz="4" w:space="0"/>
              <w:right w:val="single" w:color="auto" w:sz="4" w:space="0"/>
            </w:tcBorders>
            <w:noWrap w:val="0"/>
            <w:vAlign w:val="center"/>
          </w:tcPr>
          <w:p w14:paraId="4CFEAE67">
            <w:pPr>
              <w:widowControl/>
              <w:spacing w:line="276" w:lineRule="auto"/>
              <w:jc w:val="center"/>
              <w:textAlignment w:val="center"/>
              <w:rPr>
                <w:rFonts w:hint="eastAsia" w:ascii="仿宋" w:hAnsi="仿宋" w:eastAsia="仿宋" w:cs="仿宋"/>
                <w:sz w:val="21"/>
                <w:szCs w:val="21"/>
              </w:rPr>
            </w:pPr>
          </w:p>
        </w:tc>
        <w:tc>
          <w:tcPr>
            <w:tcW w:w="1192" w:type="dxa"/>
            <w:tcBorders>
              <w:left w:val="single" w:color="auto" w:sz="4" w:space="0"/>
              <w:bottom w:val="single" w:color="auto" w:sz="4" w:space="0"/>
              <w:right w:val="single" w:color="auto" w:sz="4" w:space="0"/>
            </w:tcBorders>
            <w:noWrap w:val="0"/>
            <w:vAlign w:val="center"/>
          </w:tcPr>
          <w:p w14:paraId="406D0B79">
            <w:pPr>
              <w:widowControl/>
              <w:spacing w:line="276" w:lineRule="auto"/>
              <w:jc w:val="center"/>
              <w:textAlignment w:val="center"/>
              <w:rPr>
                <w:rFonts w:hint="eastAsia" w:ascii="仿宋" w:hAnsi="仿宋" w:eastAsia="仿宋" w:cs="仿宋"/>
                <w:sz w:val="21"/>
                <w:szCs w:val="21"/>
              </w:rPr>
            </w:pPr>
            <w:r>
              <w:rPr>
                <w:rFonts w:hint="eastAsia" w:ascii="仿宋" w:hAnsi="仿宋" w:eastAsia="仿宋" w:cs="仿宋"/>
                <w:sz w:val="21"/>
                <w:szCs w:val="21"/>
                <w:lang w:val="en-US" w:eastAsia="zh-CN"/>
              </w:rPr>
              <w:t>现场人员</w:t>
            </w:r>
            <w:r>
              <w:rPr>
                <w:rFonts w:hint="eastAsia" w:ascii="仿宋" w:hAnsi="仿宋" w:eastAsia="仿宋" w:cs="仿宋"/>
                <w:sz w:val="21"/>
                <w:szCs w:val="21"/>
              </w:rPr>
              <w:t>（</w:t>
            </w:r>
            <w:r>
              <w:rPr>
                <w:rFonts w:hint="eastAsia" w:ascii="仿宋" w:hAnsi="仿宋" w:eastAsia="仿宋" w:cs="仿宋"/>
                <w:sz w:val="21"/>
                <w:szCs w:val="21"/>
                <w:lang w:val="en-US" w:eastAsia="zh-CN"/>
              </w:rPr>
              <w:t>4</w:t>
            </w:r>
            <w:r>
              <w:rPr>
                <w:rFonts w:hint="eastAsia" w:ascii="仿宋" w:hAnsi="仿宋" w:eastAsia="仿宋" w:cs="仿宋"/>
                <w:sz w:val="21"/>
                <w:szCs w:val="21"/>
              </w:rPr>
              <w:t>分）</w:t>
            </w:r>
          </w:p>
        </w:tc>
        <w:tc>
          <w:tcPr>
            <w:tcW w:w="6085" w:type="dxa"/>
            <w:tcBorders>
              <w:top w:val="single" w:color="auto" w:sz="4" w:space="0"/>
              <w:left w:val="single" w:color="auto" w:sz="4" w:space="0"/>
              <w:bottom w:val="single" w:color="auto" w:sz="4" w:space="0"/>
              <w:right w:val="single" w:color="auto" w:sz="4" w:space="0"/>
            </w:tcBorders>
            <w:noWrap w:val="0"/>
            <w:vAlign w:val="center"/>
          </w:tcPr>
          <w:p w14:paraId="32EAB8B0">
            <w:pPr>
              <w:rPr>
                <w:rFonts w:hint="eastAsia" w:ascii="仿宋" w:hAnsi="仿宋" w:eastAsia="仿宋" w:cs="仿宋"/>
                <w:b/>
                <w:bCs/>
                <w:sz w:val="21"/>
                <w:szCs w:val="21"/>
              </w:rPr>
            </w:pPr>
            <w:r>
              <w:rPr>
                <w:rFonts w:hint="eastAsia" w:ascii="仿宋" w:hAnsi="仿宋" w:eastAsia="仿宋" w:cs="仿宋"/>
                <w:sz w:val="21"/>
                <w:szCs w:val="21"/>
                <w:lang w:val="en-US" w:eastAsia="zh-CN"/>
              </w:rPr>
              <w:t>派驻现场人员</w:t>
            </w:r>
            <w:r>
              <w:rPr>
                <w:rFonts w:hint="eastAsia" w:ascii="仿宋" w:hAnsi="仿宋" w:eastAsia="仿宋" w:cs="仿宋"/>
                <w:sz w:val="21"/>
                <w:szCs w:val="21"/>
                <w:lang w:val="zh-CN"/>
              </w:rPr>
              <w:t>具有：①系统集成项目管理工程师资格证书；②中级或以上交通工程相关专业工程师职称证书。每项得</w:t>
            </w:r>
            <w:r>
              <w:rPr>
                <w:rFonts w:hint="eastAsia" w:ascii="仿宋" w:hAnsi="仿宋" w:eastAsia="仿宋" w:cs="仿宋"/>
                <w:sz w:val="21"/>
                <w:szCs w:val="21"/>
                <w:lang w:val="en-US" w:eastAsia="zh-CN"/>
              </w:rPr>
              <w:t>2</w:t>
            </w:r>
            <w:r>
              <w:rPr>
                <w:rFonts w:hint="eastAsia" w:ascii="仿宋" w:hAnsi="仿宋" w:eastAsia="仿宋" w:cs="仿宋"/>
                <w:sz w:val="21"/>
                <w:szCs w:val="21"/>
                <w:lang w:val="zh-CN"/>
              </w:rPr>
              <w:t>分，最高得</w:t>
            </w:r>
            <w:r>
              <w:rPr>
                <w:rFonts w:hint="eastAsia" w:ascii="仿宋" w:hAnsi="仿宋" w:eastAsia="仿宋" w:cs="仿宋"/>
                <w:sz w:val="21"/>
                <w:szCs w:val="21"/>
                <w:lang w:val="en-US" w:eastAsia="zh-CN"/>
              </w:rPr>
              <w:t>4</w:t>
            </w:r>
            <w:r>
              <w:rPr>
                <w:rFonts w:hint="eastAsia" w:ascii="仿宋" w:hAnsi="仿宋" w:eastAsia="仿宋" w:cs="仿宋"/>
                <w:sz w:val="21"/>
                <w:szCs w:val="21"/>
                <w:lang w:val="zh-CN"/>
              </w:rPr>
              <w:t>分。</w:t>
            </w:r>
            <w:r>
              <w:rPr>
                <w:rFonts w:hint="eastAsia" w:ascii="仿宋" w:hAnsi="仿宋" w:eastAsia="仿宋" w:cs="仿宋"/>
                <w:b/>
                <w:bCs/>
                <w:sz w:val="21"/>
                <w:szCs w:val="21"/>
              </w:rPr>
              <w:t>（提供证书复印件及近</w:t>
            </w:r>
            <w:r>
              <w:rPr>
                <w:rFonts w:hint="eastAsia" w:ascii="仿宋" w:hAnsi="仿宋" w:eastAsia="仿宋" w:cs="仿宋"/>
                <w:b/>
                <w:bCs/>
                <w:sz w:val="21"/>
                <w:szCs w:val="21"/>
                <w:lang w:val="en-US" w:eastAsia="zh-CN"/>
              </w:rPr>
              <w:t>3</w:t>
            </w:r>
            <w:r>
              <w:rPr>
                <w:rFonts w:hint="eastAsia" w:ascii="仿宋" w:hAnsi="仿宋" w:eastAsia="仿宋" w:cs="仿宋"/>
                <w:b/>
                <w:bCs/>
                <w:sz w:val="21"/>
                <w:szCs w:val="21"/>
              </w:rPr>
              <w:t>个月</w:t>
            </w:r>
            <w:r>
              <w:rPr>
                <w:rFonts w:hint="eastAsia" w:ascii="仿宋" w:hAnsi="仿宋" w:eastAsia="仿宋" w:cs="仿宋"/>
                <w:b/>
                <w:bCs/>
                <w:sz w:val="21"/>
                <w:szCs w:val="21"/>
                <w:lang w:val="en-US" w:eastAsia="zh-CN"/>
              </w:rPr>
              <w:t>任一个月</w:t>
            </w:r>
            <w:r>
              <w:rPr>
                <w:rFonts w:hint="eastAsia" w:ascii="仿宋" w:hAnsi="仿宋" w:eastAsia="仿宋" w:cs="仿宋"/>
                <w:b/>
                <w:bCs/>
                <w:sz w:val="21"/>
                <w:szCs w:val="21"/>
              </w:rPr>
              <w:t>由投标人为其缴纳的社保证明</w:t>
            </w:r>
            <w:r>
              <w:rPr>
                <w:rFonts w:hint="eastAsia" w:ascii="仿宋" w:hAnsi="仿宋" w:eastAsia="仿宋" w:cs="仿宋"/>
                <w:b/>
                <w:bCs/>
                <w:sz w:val="21"/>
                <w:szCs w:val="21"/>
                <w:lang w:val="en-US" w:eastAsia="zh-CN"/>
              </w:rPr>
              <w:t>上传</w:t>
            </w:r>
            <w:r>
              <w:rPr>
                <w:rFonts w:hint="eastAsia" w:ascii="仿宋" w:hAnsi="仿宋" w:eastAsia="仿宋" w:cs="仿宋"/>
                <w:b/>
                <w:bCs/>
                <w:sz w:val="21"/>
                <w:szCs w:val="21"/>
              </w:rPr>
              <w:t>）</w:t>
            </w:r>
          </w:p>
        </w:tc>
      </w:tr>
    </w:tbl>
    <w:p w14:paraId="70DFE6A5">
      <w:pPr>
        <w:pStyle w:val="237"/>
        <w:ind w:left="0" w:leftChars="0" w:firstLine="0" w:firstLineChars="0"/>
        <w:jc w:val="both"/>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在评审过程中，</w:t>
      </w:r>
      <w:r>
        <w:rPr>
          <w:rFonts w:hint="eastAsia" w:ascii="仿宋" w:hAnsi="仿宋" w:eastAsia="仿宋" w:cs="仿宋"/>
          <w:color w:val="auto"/>
          <w:sz w:val="21"/>
          <w:szCs w:val="21"/>
        </w:rPr>
        <w:t>评审委员会</w:t>
      </w:r>
      <w:r>
        <w:rPr>
          <w:rFonts w:hint="eastAsia" w:ascii="仿宋" w:hAnsi="仿宋" w:eastAsia="仿宋" w:cs="仿宋"/>
          <w:color w:val="auto"/>
          <w:sz w:val="21"/>
          <w:szCs w:val="21"/>
          <w:lang w:val="en-US" w:eastAsia="zh-CN"/>
        </w:rPr>
        <w:t>应当</w:t>
      </w:r>
      <w:r>
        <w:rPr>
          <w:rFonts w:hint="eastAsia" w:ascii="仿宋" w:hAnsi="仿宋" w:eastAsia="仿宋" w:cs="仿宋"/>
          <w:color w:val="auto"/>
          <w:sz w:val="21"/>
          <w:szCs w:val="21"/>
        </w:rPr>
        <w:t>启动异常低价投标（响应）审查的情形和具体要求，包括：（一）评审过程中出现下列情形之一的，评审委员会应当启动异常低价投标（响应）审查程序： 1．投标（响应）报价低于采购项目预算50%的，即投标（响应）报价</w:t>
      </w:r>
      <w:r>
        <w:rPr>
          <w:rFonts w:hint="eastAsia" w:ascii="仿宋" w:hAnsi="仿宋" w:eastAsia="仿宋" w:cs="仿宋"/>
          <w:color w:val="auto"/>
          <w:sz w:val="21"/>
          <w:szCs w:val="21"/>
          <w:lang w:val="en-US" w:eastAsia="zh-CN"/>
        </w:rPr>
        <w:t>小于</w:t>
      </w:r>
      <w:r>
        <w:rPr>
          <w:rFonts w:hint="eastAsia" w:ascii="仿宋" w:hAnsi="仿宋" w:eastAsia="仿宋" w:cs="仿宋"/>
          <w:color w:val="auto"/>
          <w:sz w:val="21"/>
          <w:szCs w:val="21"/>
        </w:rPr>
        <w:t>采购项目预算×50% ； 2．投标（响应）报价低于采购项目最高限价 45% 的，即投标（响应）报价</w:t>
      </w:r>
      <w:r>
        <w:rPr>
          <w:rFonts w:hint="eastAsia" w:ascii="仿宋" w:hAnsi="仿宋" w:eastAsia="仿宋" w:cs="仿宋"/>
          <w:color w:val="auto"/>
          <w:sz w:val="21"/>
          <w:szCs w:val="21"/>
          <w:lang w:val="en-US" w:eastAsia="zh-CN"/>
        </w:rPr>
        <w:t>小于</w:t>
      </w:r>
      <w:r>
        <w:rPr>
          <w:rFonts w:hint="eastAsia" w:ascii="仿宋" w:hAnsi="仿宋" w:eastAsia="仿宋" w:cs="仿宋"/>
          <w:color w:val="auto"/>
          <w:sz w:val="21"/>
          <w:szCs w:val="21"/>
        </w:rPr>
        <w:t>采购项目最高限价×45% ； 3．评审委员会认定的供应商报价过低、有可能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color w:val="auto"/>
          <w:sz w:val="21"/>
          <w:szCs w:val="21"/>
          <w:lang w:eastAsia="zh-CN"/>
        </w:rPr>
        <w:t>。</w:t>
      </w:r>
    </w:p>
    <w:p w14:paraId="53AE746A">
      <w:pPr>
        <w:rPr>
          <w:rFonts w:hint="eastAsia" w:ascii="仿宋" w:hAnsi="仿宋" w:eastAsia="仿宋" w:cs="仿宋"/>
          <w:color w:val="000000"/>
        </w:rPr>
      </w:pPr>
      <w:bookmarkStart w:id="96" w:name="_Toc109304976"/>
      <w:r>
        <w:rPr>
          <w:rFonts w:hint="eastAsia" w:ascii="仿宋" w:hAnsi="仿宋" w:eastAsia="仿宋" w:cs="仿宋"/>
          <w:color w:val="000000"/>
        </w:rPr>
        <w:br w:type="page"/>
      </w:r>
    </w:p>
    <w:p w14:paraId="1151D03F">
      <w:pPr>
        <w:rPr>
          <w:rFonts w:hint="eastAsia" w:ascii="仿宋" w:hAnsi="仿宋" w:eastAsia="仿宋" w:cs="仿宋"/>
          <w:color w:val="000000"/>
        </w:rPr>
      </w:pPr>
    </w:p>
    <w:p w14:paraId="07FFD71D">
      <w:pPr>
        <w:rPr>
          <w:rFonts w:hint="eastAsia" w:ascii="仿宋" w:hAnsi="仿宋" w:eastAsia="仿宋" w:cs="仿宋"/>
        </w:rPr>
      </w:pPr>
    </w:p>
    <w:p w14:paraId="5A8DADD2">
      <w:pPr>
        <w:pStyle w:val="197"/>
        <w:spacing w:line="360" w:lineRule="auto"/>
        <w:jc w:val="center"/>
        <w:rPr>
          <w:rFonts w:hint="eastAsia" w:ascii="仿宋" w:hAnsi="仿宋" w:eastAsia="仿宋" w:cs="仿宋"/>
          <w:sz w:val="52"/>
        </w:rPr>
      </w:pPr>
      <w:r>
        <w:rPr>
          <w:rFonts w:hint="eastAsia" w:ascii="仿宋" w:hAnsi="仿宋" w:eastAsia="仿宋" w:cs="仿宋"/>
          <w:color w:val="000000"/>
        </w:rPr>
        <w:t>第六章竞争性磋商响应文件格式</w:t>
      </w:r>
      <w:bookmarkEnd w:id="2"/>
      <w:bookmarkEnd w:id="96"/>
    </w:p>
    <w:p w14:paraId="3F79D686">
      <w:pPr>
        <w:spacing w:line="360" w:lineRule="auto"/>
        <w:jc w:val="center"/>
        <w:rPr>
          <w:rFonts w:hint="eastAsia" w:ascii="仿宋" w:hAnsi="仿宋" w:eastAsia="仿宋" w:cs="仿宋"/>
          <w:b/>
          <w:sz w:val="22"/>
        </w:rPr>
      </w:pPr>
    </w:p>
    <w:p w14:paraId="109C214F">
      <w:pPr>
        <w:spacing w:line="360" w:lineRule="auto"/>
        <w:jc w:val="center"/>
        <w:rPr>
          <w:rFonts w:hint="eastAsia" w:ascii="仿宋" w:hAnsi="仿宋" w:eastAsia="仿宋" w:cs="仿宋"/>
          <w:b/>
          <w:bCs/>
          <w:sz w:val="72"/>
          <w:szCs w:val="72"/>
        </w:rPr>
      </w:pPr>
    </w:p>
    <w:p w14:paraId="202EBEB4">
      <w:pPr>
        <w:spacing w:line="360" w:lineRule="auto"/>
        <w:jc w:val="center"/>
        <w:rPr>
          <w:rFonts w:hint="eastAsia" w:ascii="仿宋" w:hAnsi="仿宋" w:eastAsia="仿宋" w:cs="仿宋"/>
          <w:b/>
          <w:bCs/>
          <w:sz w:val="72"/>
          <w:szCs w:val="72"/>
        </w:rPr>
      </w:pPr>
    </w:p>
    <w:p w14:paraId="0C5A332B">
      <w:pPr>
        <w:spacing w:line="360" w:lineRule="auto"/>
        <w:jc w:val="center"/>
        <w:rPr>
          <w:rFonts w:hint="eastAsia" w:ascii="仿宋" w:hAnsi="仿宋" w:eastAsia="仿宋" w:cs="仿宋"/>
          <w:b/>
          <w:bCs/>
          <w:sz w:val="72"/>
          <w:szCs w:val="72"/>
        </w:rPr>
      </w:pPr>
      <w:r>
        <w:rPr>
          <w:rFonts w:hint="eastAsia" w:ascii="仿宋" w:hAnsi="仿宋" w:eastAsia="仿宋" w:cs="仿宋"/>
          <w:b/>
          <w:bCs/>
          <w:sz w:val="72"/>
          <w:szCs w:val="72"/>
        </w:rPr>
        <w:t>竞争性磋商响应文件</w:t>
      </w:r>
    </w:p>
    <w:p w14:paraId="0101B91A">
      <w:pPr>
        <w:spacing w:line="360" w:lineRule="auto"/>
        <w:jc w:val="center"/>
        <w:rPr>
          <w:rFonts w:hint="eastAsia" w:ascii="仿宋" w:hAnsi="仿宋" w:eastAsia="仿宋" w:cs="仿宋"/>
          <w:b/>
          <w:sz w:val="36"/>
          <w:szCs w:val="21"/>
        </w:rPr>
      </w:pPr>
    </w:p>
    <w:p w14:paraId="752F5098">
      <w:pPr>
        <w:spacing w:line="360" w:lineRule="auto"/>
        <w:jc w:val="center"/>
        <w:rPr>
          <w:rFonts w:hint="eastAsia" w:ascii="仿宋" w:hAnsi="仿宋" w:eastAsia="仿宋" w:cs="仿宋"/>
          <w:b/>
          <w:sz w:val="36"/>
          <w:szCs w:val="21"/>
        </w:rPr>
      </w:pPr>
    </w:p>
    <w:p w14:paraId="6AF8C7DF">
      <w:pPr>
        <w:spacing w:line="360" w:lineRule="auto"/>
        <w:jc w:val="center"/>
        <w:rPr>
          <w:rFonts w:hint="eastAsia" w:ascii="仿宋" w:hAnsi="仿宋" w:eastAsia="仿宋" w:cs="仿宋"/>
          <w:b/>
          <w:sz w:val="36"/>
          <w:szCs w:val="21"/>
        </w:rPr>
      </w:pPr>
    </w:p>
    <w:p w14:paraId="22E79274">
      <w:pPr>
        <w:spacing w:line="360" w:lineRule="auto"/>
        <w:ind w:left="0" w:leftChars="0" w:firstLine="1905" w:firstLineChars="527"/>
        <w:jc w:val="center"/>
        <w:rPr>
          <w:rFonts w:hint="eastAsia" w:ascii="仿宋" w:hAnsi="仿宋" w:eastAsia="仿宋" w:cs="仿宋"/>
          <w:b/>
          <w:sz w:val="36"/>
        </w:rPr>
      </w:pPr>
    </w:p>
    <w:p w14:paraId="2C70AC1F">
      <w:pPr>
        <w:spacing w:line="360" w:lineRule="auto"/>
        <w:ind w:left="0" w:leftChars="0" w:firstLine="1693" w:firstLineChars="527"/>
        <w:rPr>
          <w:rFonts w:hint="eastAsia" w:ascii="仿宋" w:hAnsi="仿宋" w:eastAsia="仿宋" w:cs="仿宋"/>
          <w:b/>
          <w:sz w:val="32"/>
          <w:szCs w:val="32"/>
          <w:lang w:eastAsia="zh-CN"/>
        </w:rPr>
      </w:pPr>
      <w:r>
        <w:rPr>
          <w:rFonts w:hint="eastAsia" w:ascii="仿宋" w:hAnsi="仿宋" w:eastAsia="仿宋" w:cs="仿宋"/>
          <w:b/>
          <w:sz w:val="32"/>
          <w:szCs w:val="32"/>
        </w:rPr>
        <w:t>项目名称：</w:t>
      </w:r>
    </w:p>
    <w:p w14:paraId="048F2E98">
      <w:pPr>
        <w:spacing w:line="360" w:lineRule="auto"/>
        <w:ind w:left="0" w:leftChars="0" w:firstLine="1693" w:firstLineChars="527"/>
        <w:rPr>
          <w:rFonts w:hint="eastAsia" w:ascii="仿宋" w:hAnsi="仿宋" w:eastAsia="仿宋" w:cs="仿宋"/>
          <w:b/>
          <w:sz w:val="32"/>
          <w:szCs w:val="32"/>
          <w:u w:val="single"/>
          <w:lang w:eastAsia="zh-CN"/>
        </w:rPr>
      </w:pPr>
      <w:r>
        <w:rPr>
          <w:rFonts w:hint="eastAsia" w:ascii="仿宋" w:hAnsi="仿宋" w:eastAsia="仿宋" w:cs="仿宋"/>
          <w:b/>
          <w:sz w:val="32"/>
          <w:szCs w:val="32"/>
        </w:rPr>
        <w:t>项目编号：</w:t>
      </w:r>
    </w:p>
    <w:p w14:paraId="1C9832EC">
      <w:pPr>
        <w:spacing w:line="360" w:lineRule="auto"/>
        <w:ind w:left="0" w:leftChars="0" w:firstLine="1693" w:firstLineChars="527"/>
        <w:rPr>
          <w:rFonts w:hint="eastAsia" w:ascii="仿宋" w:hAnsi="仿宋" w:eastAsia="仿宋" w:cs="仿宋"/>
          <w:b/>
          <w:sz w:val="32"/>
          <w:szCs w:val="32"/>
          <w:u w:val="single"/>
          <w:lang w:eastAsia="zh-CN"/>
        </w:rPr>
      </w:pPr>
      <w:r>
        <w:rPr>
          <w:rFonts w:hint="eastAsia" w:ascii="仿宋" w:hAnsi="仿宋" w:eastAsia="仿宋" w:cs="仿宋"/>
          <w:b/>
          <w:sz w:val="32"/>
          <w:szCs w:val="32"/>
        </w:rPr>
        <w:t>磋商供应商名称：</w:t>
      </w:r>
    </w:p>
    <w:p w14:paraId="27994E65">
      <w:pPr>
        <w:spacing w:line="360" w:lineRule="auto"/>
        <w:ind w:left="0" w:leftChars="0" w:firstLine="1693" w:firstLineChars="527"/>
        <w:rPr>
          <w:rFonts w:hint="eastAsia" w:ascii="仿宋" w:hAnsi="仿宋" w:eastAsia="仿宋" w:cs="仿宋"/>
          <w:b/>
          <w:sz w:val="32"/>
          <w:szCs w:val="32"/>
          <w:u w:val="single"/>
          <w:lang w:eastAsia="zh-CN"/>
        </w:rPr>
      </w:pPr>
      <w:r>
        <w:rPr>
          <w:rFonts w:hint="eastAsia" w:ascii="仿宋" w:hAnsi="仿宋" w:eastAsia="仿宋" w:cs="仿宋"/>
          <w:b/>
          <w:sz w:val="32"/>
          <w:szCs w:val="32"/>
        </w:rPr>
        <w:t>日期：</w:t>
      </w:r>
    </w:p>
    <w:p w14:paraId="634E0D28">
      <w:pPr>
        <w:spacing w:line="360" w:lineRule="auto"/>
        <w:ind w:left="0" w:leftChars="0" w:firstLine="1693" w:firstLineChars="527"/>
        <w:rPr>
          <w:rFonts w:hint="eastAsia" w:ascii="仿宋" w:hAnsi="仿宋" w:eastAsia="仿宋" w:cs="仿宋"/>
          <w:b/>
          <w:sz w:val="32"/>
          <w:szCs w:val="32"/>
        </w:rPr>
      </w:pPr>
      <w:r>
        <w:rPr>
          <w:rFonts w:hint="eastAsia" w:ascii="仿宋" w:hAnsi="仿宋" w:eastAsia="仿宋" w:cs="仿宋"/>
          <w:b/>
          <w:sz w:val="32"/>
          <w:szCs w:val="32"/>
        </w:rPr>
        <w:t>供应商：（电子签章）</w:t>
      </w:r>
    </w:p>
    <w:p w14:paraId="61FF9A6B">
      <w:pPr>
        <w:spacing w:line="360" w:lineRule="auto"/>
        <w:jc w:val="center"/>
        <w:rPr>
          <w:rFonts w:hint="eastAsia" w:ascii="仿宋" w:hAnsi="仿宋" w:eastAsia="仿宋" w:cs="仿宋"/>
          <w:b/>
          <w:bCs/>
          <w:sz w:val="32"/>
          <w:szCs w:val="32"/>
        </w:rPr>
      </w:pPr>
      <w:r>
        <w:rPr>
          <w:rFonts w:hint="eastAsia" w:ascii="仿宋" w:hAnsi="仿宋" w:eastAsia="仿宋" w:cs="仿宋"/>
          <w:sz w:val="24"/>
        </w:rPr>
        <w:br w:type="page" w:clear="all"/>
      </w:r>
      <w:r>
        <w:rPr>
          <w:rFonts w:hint="eastAsia" w:ascii="仿宋" w:hAnsi="仿宋" w:eastAsia="仿宋" w:cs="仿宋"/>
          <w:b/>
          <w:bCs/>
          <w:sz w:val="32"/>
          <w:szCs w:val="32"/>
        </w:rPr>
        <w:t>磋商主要文件目录</w:t>
      </w:r>
    </w:p>
    <w:p w14:paraId="587704B7">
      <w:pPr>
        <w:spacing w:line="360" w:lineRule="auto"/>
        <w:jc w:val="center"/>
        <w:rPr>
          <w:rFonts w:hint="eastAsia" w:ascii="仿宋" w:hAnsi="仿宋" w:eastAsia="仿宋" w:cs="仿宋"/>
          <w:b/>
          <w:bCs/>
          <w:sz w:val="32"/>
          <w:szCs w:val="32"/>
        </w:rPr>
      </w:pPr>
    </w:p>
    <w:p w14:paraId="4E38A3D6">
      <w:pPr>
        <w:spacing w:line="360" w:lineRule="auto"/>
        <w:ind w:firstLine="480"/>
        <w:rPr>
          <w:rFonts w:hint="eastAsia" w:ascii="仿宋" w:hAnsi="仿宋" w:eastAsia="仿宋" w:cs="仿宋"/>
          <w:sz w:val="24"/>
        </w:rPr>
      </w:pPr>
      <w:r>
        <w:rPr>
          <w:rFonts w:hint="eastAsia" w:ascii="仿宋" w:hAnsi="仿宋" w:eastAsia="仿宋" w:cs="仿宋"/>
          <w:sz w:val="24"/>
        </w:rPr>
        <w:t>一、资格审查响应对照表</w:t>
      </w:r>
    </w:p>
    <w:p w14:paraId="303B86E4">
      <w:pPr>
        <w:spacing w:line="360" w:lineRule="auto"/>
        <w:ind w:left="480"/>
        <w:rPr>
          <w:rFonts w:hint="eastAsia" w:ascii="仿宋" w:hAnsi="仿宋" w:eastAsia="仿宋" w:cs="仿宋"/>
          <w:sz w:val="24"/>
        </w:rPr>
      </w:pPr>
      <w:r>
        <w:rPr>
          <w:rFonts w:hint="eastAsia" w:ascii="仿宋" w:hAnsi="仿宋" w:eastAsia="仿宋" w:cs="仿宋"/>
          <w:sz w:val="24"/>
        </w:rPr>
        <w:t>二、符合性审查响应对照表</w:t>
      </w:r>
    </w:p>
    <w:p w14:paraId="72EFC720">
      <w:pPr>
        <w:spacing w:line="360" w:lineRule="auto"/>
        <w:ind w:left="480"/>
        <w:rPr>
          <w:rFonts w:hint="eastAsia" w:ascii="仿宋" w:hAnsi="仿宋" w:eastAsia="仿宋" w:cs="仿宋"/>
          <w:sz w:val="24"/>
        </w:rPr>
      </w:pPr>
      <w:r>
        <w:rPr>
          <w:rFonts w:hint="eastAsia" w:ascii="仿宋" w:hAnsi="仿宋" w:eastAsia="仿宋" w:cs="仿宋"/>
          <w:sz w:val="24"/>
        </w:rPr>
        <w:t>三、非实质性响应对照表</w:t>
      </w:r>
    </w:p>
    <w:p w14:paraId="267ADB18">
      <w:pPr>
        <w:spacing w:line="360" w:lineRule="auto"/>
        <w:ind w:firstLine="480"/>
        <w:rPr>
          <w:rFonts w:hint="eastAsia" w:ascii="仿宋" w:hAnsi="仿宋" w:eastAsia="仿宋" w:cs="仿宋"/>
          <w:b/>
          <w:bCs/>
          <w:sz w:val="24"/>
        </w:rPr>
      </w:pPr>
      <w:r>
        <w:rPr>
          <w:rFonts w:hint="eastAsia" w:ascii="仿宋" w:hAnsi="仿宋" w:eastAsia="仿宋" w:cs="仿宋"/>
          <w:sz w:val="24"/>
        </w:rPr>
        <w:t>四</w:t>
      </w:r>
      <w:r>
        <w:rPr>
          <w:rFonts w:hint="eastAsia" w:ascii="仿宋" w:hAnsi="仿宋" w:eastAsia="仿宋" w:cs="仿宋"/>
          <w:b/>
          <w:bCs/>
          <w:sz w:val="24"/>
        </w:rPr>
        <w:t>、</w:t>
      </w:r>
      <w:r>
        <w:rPr>
          <w:rFonts w:hint="eastAsia" w:ascii="仿宋" w:hAnsi="仿宋" w:eastAsia="仿宋" w:cs="仿宋"/>
          <w:i/>
          <w:sz w:val="24"/>
          <w:u w:val="single"/>
        </w:rPr>
        <w:t>磋商响应报价表</w:t>
      </w:r>
    </w:p>
    <w:p w14:paraId="0F056480">
      <w:pPr>
        <w:spacing w:line="360" w:lineRule="auto"/>
        <w:ind w:firstLine="480"/>
        <w:rPr>
          <w:rFonts w:hint="eastAsia" w:ascii="仿宋" w:hAnsi="仿宋" w:eastAsia="仿宋" w:cs="仿宋"/>
          <w:sz w:val="24"/>
        </w:rPr>
      </w:pPr>
      <w:r>
        <w:rPr>
          <w:rFonts w:hint="eastAsia" w:ascii="仿宋" w:hAnsi="仿宋" w:eastAsia="仿宋" w:cs="仿宋"/>
          <w:sz w:val="24"/>
        </w:rPr>
        <w:t>五、</w:t>
      </w:r>
      <w:r>
        <w:rPr>
          <w:rFonts w:hint="eastAsia" w:ascii="仿宋" w:hAnsi="仿宋" w:eastAsia="仿宋" w:cs="仿宋"/>
          <w:sz w:val="24"/>
          <w:szCs w:val="24"/>
        </w:rPr>
        <w:t>技术参数响应及偏离表</w:t>
      </w:r>
    </w:p>
    <w:p w14:paraId="7CC989E7">
      <w:pPr>
        <w:spacing w:line="360" w:lineRule="auto"/>
        <w:ind w:firstLine="480"/>
        <w:rPr>
          <w:rFonts w:hint="eastAsia" w:ascii="仿宋" w:hAnsi="仿宋" w:eastAsia="仿宋" w:cs="仿宋"/>
          <w:sz w:val="24"/>
        </w:rPr>
      </w:pPr>
      <w:r>
        <w:rPr>
          <w:rFonts w:hint="eastAsia" w:ascii="仿宋" w:hAnsi="仿宋" w:eastAsia="仿宋" w:cs="仿宋"/>
          <w:sz w:val="24"/>
        </w:rPr>
        <w:t>六</w:t>
      </w:r>
      <w:r>
        <w:rPr>
          <w:rFonts w:hint="eastAsia" w:ascii="仿宋" w:hAnsi="仿宋" w:eastAsia="仿宋" w:cs="仿宋"/>
          <w:sz w:val="24"/>
          <w:szCs w:val="24"/>
        </w:rPr>
        <w:t>、</w:t>
      </w:r>
      <w:r>
        <w:rPr>
          <w:rFonts w:hint="eastAsia" w:ascii="仿宋" w:hAnsi="仿宋" w:eastAsia="仿宋" w:cs="仿宋"/>
          <w:sz w:val="24"/>
        </w:rPr>
        <w:t>商务条款响应及偏离表</w:t>
      </w:r>
    </w:p>
    <w:p w14:paraId="7B7F8EB9">
      <w:pPr>
        <w:spacing w:line="360" w:lineRule="auto"/>
        <w:ind w:firstLine="480"/>
        <w:rPr>
          <w:rFonts w:hint="eastAsia" w:ascii="仿宋" w:hAnsi="仿宋" w:eastAsia="仿宋" w:cs="仿宋"/>
          <w:sz w:val="24"/>
        </w:rPr>
      </w:pPr>
      <w:r>
        <w:rPr>
          <w:rFonts w:hint="eastAsia" w:ascii="仿宋" w:hAnsi="仿宋" w:eastAsia="仿宋" w:cs="仿宋"/>
          <w:sz w:val="24"/>
        </w:rPr>
        <w:t>七、其他（供应商认为有必要提供的声明和文件，如有自拟并自行添加）</w:t>
      </w:r>
    </w:p>
    <w:p w14:paraId="3E74EE93">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一、资格审查响应对照表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3"/>
        <w:gridCol w:w="6209"/>
        <w:gridCol w:w="2427"/>
      </w:tblGrid>
      <w:tr w14:paraId="0EF9A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0" w:hRule="atLeast"/>
          <w:jc w:val="center"/>
        </w:trPr>
        <w:tc>
          <w:tcPr>
            <w:tcW w:w="643" w:type="dxa"/>
            <w:noWrap w:val="0"/>
            <w:vAlign w:val="center"/>
          </w:tcPr>
          <w:p w14:paraId="0A9D8B64">
            <w:pPr>
              <w:spacing w:line="360" w:lineRule="auto"/>
              <w:jc w:val="center"/>
              <w:rPr>
                <w:rFonts w:hint="eastAsia" w:ascii="仿宋" w:hAnsi="仿宋" w:eastAsia="仿宋" w:cs="仿宋"/>
                <w:b/>
                <w:szCs w:val="21"/>
              </w:rPr>
            </w:pPr>
            <w:r>
              <w:rPr>
                <w:rFonts w:hint="eastAsia" w:ascii="仿宋" w:hAnsi="仿宋" w:eastAsia="仿宋" w:cs="仿宋"/>
                <w:b/>
                <w:szCs w:val="21"/>
              </w:rPr>
              <w:t>序号</w:t>
            </w:r>
          </w:p>
        </w:tc>
        <w:tc>
          <w:tcPr>
            <w:tcW w:w="6209" w:type="dxa"/>
            <w:noWrap w:val="0"/>
            <w:vAlign w:val="center"/>
          </w:tcPr>
          <w:p w14:paraId="044F59F8">
            <w:pPr>
              <w:spacing w:line="360" w:lineRule="auto"/>
              <w:jc w:val="center"/>
              <w:rPr>
                <w:rFonts w:hint="eastAsia" w:ascii="仿宋" w:hAnsi="仿宋" w:eastAsia="仿宋" w:cs="仿宋"/>
                <w:b/>
                <w:szCs w:val="21"/>
              </w:rPr>
            </w:pPr>
            <w:r>
              <w:rPr>
                <w:rFonts w:hint="eastAsia" w:ascii="仿宋" w:hAnsi="仿宋" w:eastAsia="仿宋" w:cs="仿宋"/>
                <w:b/>
                <w:szCs w:val="21"/>
              </w:rPr>
              <w:t>资格审查响应内容</w:t>
            </w:r>
          </w:p>
        </w:tc>
        <w:tc>
          <w:tcPr>
            <w:tcW w:w="2427" w:type="dxa"/>
            <w:noWrap w:val="0"/>
            <w:vAlign w:val="center"/>
          </w:tcPr>
          <w:p w14:paraId="05FECF29">
            <w:pPr>
              <w:spacing w:line="360" w:lineRule="auto"/>
              <w:jc w:val="center"/>
              <w:rPr>
                <w:rFonts w:hint="eastAsia" w:ascii="仿宋" w:hAnsi="仿宋" w:eastAsia="仿宋" w:cs="仿宋"/>
                <w:b/>
                <w:szCs w:val="21"/>
              </w:rPr>
            </w:pPr>
            <w:r>
              <w:rPr>
                <w:rFonts w:hint="eastAsia" w:ascii="仿宋" w:hAnsi="仿宋" w:eastAsia="仿宋" w:cs="仿宋"/>
                <w:b/>
                <w:szCs w:val="21"/>
              </w:rPr>
              <w:t>是否响应</w:t>
            </w:r>
          </w:p>
          <w:p w14:paraId="235C7B2F">
            <w:pPr>
              <w:spacing w:line="360" w:lineRule="auto"/>
              <w:jc w:val="center"/>
              <w:rPr>
                <w:rFonts w:hint="eastAsia" w:ascii="仿宋" w:hAnsi="仿宋" w:eastAsia="仿宋" w:cs="仿宋"/>
                <w:b/>
                <w:szCs w:val="21"/>
              </w:rPr>
            </w:pPr>
            <w:r>
              <w:rPr>
                <w:rFonts w:hint="eastAsia" w:ascii="仿宋" w:hAnsi="仿宋" w:eastAsia="仿宋" w:cs="仿宋"/>
                <w:b/>
                <w:szCs w:val="21"/>
              </w:rPr>
              <w:t>（填是或者否）</w:t>
            </w:r>
          </w:p>
        </w:tc>
      </w:tr>
      <w:tr w14:paraId="0C08C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279" w:type="dxa"/>
            <w:gridSpan w:val="3"/>
            <w:noWrap w:val="0"/>
            <w:vAlign w:val="center"/>
          </w:tcPr>
          <w:p w14:paraId="3707E74E">
            <w:pPr>
              <w:spacing w:line="360" w:lineRule="auto"/>
              <w:rPr>
                <w:rFonts w:hint="eastAsia" w:ascii="仿宋" w:hAnsi="仿宋" w:eastAsia="仿宋" w:cs="仿宋"/>
                <w:b/>
                <w:szCs w:val="21"/>
              </w:rPr>
            </w:pPr>
            <w:r>
              <w:rPr>
                <w:rFonts w:hint="eastAsia" w:ascii="仿宋" w:hAnsi="仿宋" w:eastAsia="仿宋" w:cs="仿宋"/>
                <w:b/>
                <w:szCs w:val="21"/>
              </w:rPr>
              <w:t>通用资格条件</w:t>
            </w:r>
          </w:p>
        </w:tc>
      </w:tr>
      <w:tr w14:paraId="5198A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jc w:val="center"/>
        </w:trPr>
        <w:tc>
          <w:tcPr>
            <w:tcW w:w="643" w:type="dxa"/>
            <w:noWrap w:val="0"/>
            <w:vAlign w:val="center"/>
          </w:tcPr>
          <w:p w14:paraId="0AEFFCE4">
            <w:pPr>
              <w:spacing w:line="360" w:lineRule="auto"/>
              <w:jc w:val="center"/>
              <w:rPr>
                <w:rFonts w:hint="eastAsia" w:ascii="仿宋" w:hAnsi="仿宋" w:eastAsia="仿宋" w:cs="仿宋"/>
                <w:b/>
                <w:szCs w:val="21"/>
              </w:rPr>
            </w:pPr>
            <w:r>
              <w:rPr>
                <w:rFonts w:hint="eastAsia" w:ascii="仿宋" w:hAnsi="仿宋" w:eastAsia="仿宋" w:cs="仿宋"/>
                <w:szCs w:val="21"/>
              </w:rPr>
              <w:t>1</w:t>
            </w:r>
          </w:p>
        </w:tc>
        <w:tc>
          <w:tcPr>
            <w:tcW w:w="6209" w:type="dxa"/>
            <w:noWrap w:val="0"/>
            <w:vAlign w:val="center"/>
          </w:tcPr>
          <w:p w14:paraId="76912618">
            <w:pPr>
              <w:spacing w:line="240" w:lineRule="auto"/>
              <w:rPr>
                <w:rFonts w:hint="eastAsia" w:ascii="仿宋" w:hAnsi="仿宋" w:eastAsia="仿宋" w:cs="仿宋"/>
                <w:iCs/>
                <w:szCs w:val="21"/>
              </w:rPr>
            </w:pPr>
            <w:r>
              <w:rPr>
                <w:rFonts w:hint="eastAsia" w:ascii="仿宋" w:hAnsi="仿宋" w:eastAsia="仿宋" w:cs="仿宋"/>
                <w:szCs w:val="21"/>
              </w:rPr>
              <w:t>法人或者其他组织的营业执照等证明文件，自然人的身份证明（身份证为正、反面）</w:t>
            </w:r>
          </w:p>
        </w:tc>
        <w:tc>
          <w:tcPr>
            <w:tcW w:w="2427" w:type="dxa"/>
            <w:noWrap w:val="0"/>
            <w:vAlign w:val="center"/>
          </w:tcPr>
          <w:p w14:paraId="264A5A22">
            <w:pPr>
              <w:spacing w:line="360" w:lineRule="auto"/>
              <w:rPr>
                <w:rFonts w:hint="eastAsia" w:ascii="仿宋" w:hAnsi="仿宋" w:eastAsia="仿宋" w:cs="仿宋"/>
                <w:b/>
                <w:szCs w:val="21"/>
              </w:rPr>
            </w:pPr>
          </w:p>
        </w:tc>
      </w:tr>
      <w:tr w14:paraId="2453D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1" w:hRule="atLeast"/>
          <w:jc w:val="center"/>
        </w:trPr>
        <w:tc>
          <w:tcPr>
            <w:tcW w:w="643" w:type="dxa"/>
            <w:noWrap w:val="0"/>
            <w:vAlign w:val="center"/>
          </w:tcPr>
          <w:p w14:paraId="65B2A684">
            <w:pPr>
              <w:spacing w:line="360" w:lineRule="auto"/>
              <w:jc w:val="center"/>
              <w:rPr>
                <w:rFonts w:hint="eastAsia" w:ascii="仿宋" w:hAnsi="仿宋" w:eastAsia="仿宋" w:cs="仿宋"/>
                <w:szCs w:val="21"/>
              </w:rPr>
            </w:pPr>
            <w:r>
              <w:rPr>
                <w:rFonts w:hint="eastAsia" w:ascii="仿宋" w:hAnsi="仿宋" w:eastAsia="仿宋" w:cs="仿宋"/>
                <w:szCs w:val="21"/>
              </w:rPr>
              <w:t>2</w:t>
            </w:r>
          </w:p>
        </w:tc>
        <w:tc>
          <w:tcPr>
            <w:tcW w:w="6209" w:type="dxa"/>
            <w:noWrap w:val="0"/>
            <w:vAlign w:val="center"/>
          </w:tcPr>
          <w:p w14:paraId="43D6C4F5">
            <w:pPr>
              <w:spacing w:line="240" w:lineRule="auto"/>
              <w:rPr>
                <w:rFonts w:hint="eastAsia" w:ascii="仿宋" w:hAnsi="仿宋" w:eastAsia="仿宋" w:cs="仿宋"/>
                <w:iCs/>
                <w:szCs w:val="21"/>
              </w:rPr>
            </w:pPr>
            <w:r>
              <w:rPr>
                <w:rFonts w:hint="eastAsia" w:ascii="仿宋" w:hAnsi="仿宋" w:eastAsia="仿宋" w:cs="仿宋"/>
                <w:szCs w:val="21"/>
              </w:rPr>
              <w:t>依法缴纳职工社会保障资金的证明材料</w:t>
            </w:r>
            <w:r>
              <w:rPr>
                <w:rFonts w:hint="eastAsia" w:ascii="仿宋" w:hAnsi="仿宋" w:eastAsia="仿宋" w:cs="仿宋"/>
                <w:b/>
                <w:bCs/>
                <w:szCs w:val="21"/>
              </w:rPr>
              <w:t>(税务、银行或社会保险基金管理部门出具的近三个月内任意一个月缴纳职工社会保障资金的缴款凭证或缴款证明)</w:t>
            </w:r>
          </w:p>
        </w:tc>
        <w:tc>
          <w:tcPr>
            <w:tcW w:w="2427" w:type="dxa"/>
            <w:noWrap w:val="0"/>
            <w:vAlign w:val="center"/>
          </w:tcPr>
          <w:p w14:paraId="7F0FB36E">
            <w:pPr>
              <w:spacing w:line="360" w:lineRule="auto"/>
              <w:rPr>
                <w:rFonts w:hint="eastAsia" w:ascii="仿宋" w:hAnsi="仿宋" w:eastAsia="仿宋" w:cs="仿宋"/>
                <w:szCs w:val="21"/>
              </w:rPr>
            </w:pPr>
          </w:p>
        </w:tc>
      </w:tr>
      <w:tr w14:paraId="53163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43" w:type="dxa"/>
            <w:noWrap w:val="0"/>
            <w:vAlign w:val="center"/>
          </w:tcPr>
          <w:p w14:paraId="28DABF3C">
            <w:pPr>
              <w:spacing w:line="360" w:lineRule="auto"/>
              <w:jc w:val="center"/>
              <w:rPr>
                <w:rFonts w:hint="eastAsia" w:ascii="仿宋" w:hAnsi="仿宋" w:eastAsia="仿宋" w:cs="仿宋"/>
                <w:szCs w:val="21"/>
              </w:rPr>
            </w:pPr>
            <w:r>
              <w:rPr>
                <w:rFonts w:hint="eastAsia" w:ascii="仿宋" w:hAnsi="仿宋" w:eastAsia="仿宋" w:cs="仿宋"/>
                <w:szCs w:val="21"/>
              </w:rPr>
              <w:t>3</w:t>
            </w:r>
          </w:p>
        </w:tc>
        <w:tc>
          <w:tcPr>
            <w:tcW w:w="6209" w:type="dxa"/>
            <w:noWrap w:val="0"/>
            <w:vAlign w:val="center"/>
          </w:tcPr>
          <w:p w14:paraId="57136722">
            <w:pPr>
              <w:spacing w:line="240" w:lineRule="auto"/>
              <w:rPr>
                <w:rFonts w:hint="eastAsia" w:ascii="仿宋" w:hAnsi="仿宋" w:eastAsia="仿宋" w:cs="仿宋"/>
                <w:iCs/>
                <w:szCs w:val="21"/>
              </w:rPr>
            </w:pPr>
            <w:r>
              <w:rPr>
                <w:rFonts w:hint="eastAsia" w:ascii="仿宋" w:hAnsi="仿宋" w:eastAsia="仿宋" w:cs="仿宋"/>
                <w:szCs w:val="21"/>
              </w:rPr>
              <w:t>供应商近三个月内任意一份依法纳税的缴款凭证</w:t>
            </w:r>
          </w:p>
        </w:tc>
        <w:tc>
          <w:tcPr>
            <w:tcW w:w="2427" w:type="dxa"/>
            <w:noWrap w:val="0"/>
            <w:vAlign w:val="center"/>
          </w:tcPr>
          <w:p w14:paraId="32ED21B5">
            <w:pPr>
              <w:spacing w:line="360" w:lineRule="auto"/>
              <w:rPr>
                <w:rFonts w:hint="eastAsia" w:ascii="仿宋" w:hAnsi="仿宋" w:eastAsia="仿宋" w:cs="仿宋"/>
                <w:szCs w:val="21"/>
              </w:rPr>
            </w:pPr>
          </w:p>
        </w:tc>
      </w:tr>
      <w:tr w14:paraId="11F8D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643" w:type="dxa"/>
            <w:noWrap w:val="0"/>
            <w:vAlign w:val="center"/>
          </w:tcPr>
          <w:p w14:paraId="0E370446">
            <w:pPr>
              <w:spacing w:line="360" w:lineRule="auto"/>
              <w:jc w:val="center"/>
              <w:rPr>
                <w:rFonts w:hint="eastAsia" w:ascii="仿宋" w:hAnsi="仿宋" w:eastAsia="仿宋" w:cs="仿宋"/>
                <w:szCs w:val="21"/>
              </w:rPr>
            </w:pPr>
            <w:r>
              <w:rPr>
                <w:rFonts w:hint="eastAsia" w:ascii="仿宋" w:hAnsi="仿宋" w:eastAsia="仿宋" w:cs="仿宋"/>
                <w:szCs w:val="21"/>
              </w:rPr>
              <w:t>4</w:t>
            </w:r>
          </w:p>
        </w:tc>
        <w:tc>
          <w:tcPr>
            <w:tcW w:w="6209" w:type="dxa"/>
            <w:noWrap w:val="0"/>
            <w:vAlign w:val="center"/>
          </w:tcPr>
          <w:p w14:paraId="74694523">
            <w:pPr>
              <w:spacing w:line="240" w:lineRule="auto"/>
              <w:rPr>
                <w:rFonts w:hint="eastAsia" w:ascii="仿宋" w:hAnsi="仿宋" w:eastAsia="仿宋" w:cs="仿宋"/>
                <w:iCs/>
                <w:szCs w:val="21"/>
              </w:rPr>
            </w:pPr>
            <w:r>
              <w:rPr>
                <w:rFonts w:hint="eastAsia" w:ascii="仿宋" w:hAnsi="仿宋" w:eastAsia="仿宋" w:cs="仿宋"/>
                <w:szCs w:val="21"/>
              </w:rPr>
              <w:t>上一年度的财务状况情况</w:t>
            </w:r>
            <w:r>
              <w:rPr>
                <w:rFonts w:hint="eastAsia" w:ascii="仿宋" w:hAnsi="仿宋" w:eastAsia="仿宋" w:cs="仿宋"/>
                <w:b/>
                <w:bCs/>
                <w:szCs w:val="21"/>
              </w:rPr>
              <w:t>（成立不满一年不需提供）</w:t>
            </w:r>
          </w:p>
        </w:tc>
        <w:tc>
          <w:tcPr>
            <w:tcW w:w="2427" w:type="dxa"/>
            <w:noWrap w:val="0"/>
            <w:vAlign w:val="center"/>
          </w:tcPr>
          <w:p w14:paraId="37471871">
            <w:pPr>
              <w:spacing w:line="360" w:lineRule="auto"/>
              <w:rPr>
                <w:rFonts w:hint="eastAsia" w:ascii="仿宋" w:hAnsi="仿宋" w:eastAsia="仿宋" w:cs="仿宋"/>
                <w:szCs w:val="21"/>
              </w:rPr>
            </w:pPr>
          </w:p>
        </w:tc>
      </w:tr>
      <w:tr w14:paraId="5D152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643" w:type="dxa"/>
            <w:noWrap w:val="0"/>
            <w:vAlign w:val="center"/>
          </w:tcPr>
          <w:p w14:paraId="151B8768">
            <w:pPr>
              <w:spacing w:line="360" w:lineRule="auto"/>
              <w:jc w:val="center"/>
              <w:rPr>
                <w:rFonts w:hint="eastAsia" w:ascii="仿宋" w:hAnsi="仿宋" w:eastAsia="仿宋" w:cs="仿宋"/>
                <w:szCs w:val="21"/>
              </w:rPr>
            </w:pPr>
            <w:r>
              <w:rPr>
                <w:rFonts w:hint="eastAsia" w:ascii="仿宋" w:hAnsi="仿宋" w:eastAsia="仿宋" w:cs="仿宋"/>
                <w:szCs w:val="21"/>
              </w:rPr>
              <w:t>5</w:t>
            </w:r>
          </w:p>
        </w:tc>
        <w:tc>
          <w:tcPr>
            <w:tcW w:w="6209" w:type="dxa"/>
            <w:noWrap w:val="0"/>
            <w:vAlign w:val="center"/>
          </w:tcPr>
          <w:p w14:paraId="241B5D66">
            <w:pPr>
              <w:spacing w:line="240" w:lineRule="auto"/>
              <w:rPr>
                <w:rFonts w:hint="eastAsia" w:ascii="仿宋" w:hAnsi="仿宋" w:eastAsia="仿宋" w:cs="仿宋"/>
                <w:iCs/>
                <w:szCs w:val="21"/>
                <w:lang w:eastAsia="zh-CN"/>
              </w:rPr>
            </w:pPr>
            <w:r>
              <w:rPr>
                <w:rFonts w:hint="eastAsia" w:ascii="仿宋" w:hAnsi="仿宋" w:eastAsia="仿宋" w:cs="仿宋"/>
                <w:szCs w:val="21"/>
              </w:rPr>
              <w:t>具备履行合同所必需的设备和专业技术能力的</w:t>
            </w:r>
            <w:r>
              <w:rPr>
                <w:rFonts w:hint="eastAsia" w:ascii="仿宋" w:hAnsi="仿宋" w:eastAsia="仿宋" w:cs="仿宋"/>
                <w:szCs w:val="21"/>
                <w:lang w:val="en-US" w:eastAsia="zh-CN"/>
              </w:rPr>
              <w:t>书面声明</w:t>
            </w:r>
          </w:p>
        </w:tc>
        <w:tc>
          <w:tcPr>
            <w:tcW w:w="2427" w:type="dxa"/>
            <w:noWrap w:val="0"/>
            <w:vAlign w:val="center"/>
          </w:tcPr>
          <w:p w14:paraId="4F4B0A1F">
            <w:pPr>
              <w:spacing w:line="360" w:lineRule="auto"/>
              <w:rPr>
                <w:rFonts w:hint="eastAsia" w:ascii="仿宋" w:hAnsi="仿宋" w:eastAsia="仿宋" w:cs="仿宋"/>
                <w:szCs w:val="21"/>
              </w:rPr>
            </w:pPr>
          </w:p>
        </w:tc>
      </w:tr>
      <w:tr w14:paraId="46F4A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643" w:type="dxa"/>
            <w:noWrap w:val="0"/>
            <w:vAlign w:val="center"/>
          </w:tcPr>
          <w:p w14:paraId="1E7FFD5E">
            <w:pPr>
              <w:spacing w:line="360" w:lineRule="auto"/>
              <w:jc w:val="center"/>
              <w:rPr>
                <w:rFonts w:hint="eastAsia" w:ascii="仿宋" w:hAnsi="仿宋" w:eastAsia="仿宋" w:cs="仿宋"/>
                <w:szCs w:val="21"/>
              </w:rPr>
            </w:pPr>
            <w:r>
              <w:rPr>
                <w:rFonts w:hint="eastAsia" w:ascii="仿宋" w:hAnsi="仿宋" w:eastAsia="仿宋" w:cs="仿宋"/>
                <w:szCs w:val="21"/>
              </w:rPr>
              <w:t>6</w:t>
            </w:r>
          </w:p>
        </w:tc>
        <w:tc>
          <w:tcPr>
            <w:tcW w:w="6209" w:type="dxa"/>
            <w:noWrap w:val="0"/>
            <w:vAlign w:val="center"/>
          </w:tcPr>
          <w:p w14:paraId="64A66651">
            <w:pPr>
              <w:spacing w:line="240" w:lineRule="auto"/>
              <w:rPr>
                <w:rFonts w:hint="eastAsia" w:ascii="仿宋" w:hAnsi="仿宋" w:eastAsia="仿宋" w:cs="仿宋"/>
                <w:iCs/>
                <w:szCs w:val="21"/>
              </w:rPr>
            </w:pPr>
            <w:r>
              <w:rPr>
                <w:rFonts w:hint="eastAsia" w:ascii="仿宋" w:hAnsi="仿宋" w:eastAsia="仿宋" w:cs="仿宋"/>
                <w:szCs w:val="21"/>
              </w:rPr>
              <w:t>参加本次政府采购活动前3年内在经营活动中没有重大违法记录的书面声明</w:t>
            </w:r>
          </w:p>
        </w:tc>
        <w:tc>
          <w:tcPr>
            <w:tcW w:w="2427" w:type="dxa"/>
            <w:noWrap w:val="0"/>
            <w:vAlign w:val="center"/>
          </w:tcPr>
          <w:p w14:paraId="4AA20886">
            <w:pPr>
              <w:spacing w:line="360" w:lineRule="auto"/>
              <w:rPr>
                <w:rFonts w:hint="eastAsia" w:ascii="仿宋" w:hAnsi="仿宋" w:eastAsia="仿宋" w:cs="仿宋"/>
                <w:szCs w:val="21"/>
              </w:rPr>
            </w:pPr>
          </w:p>
        </w:tc>
      </w:tr>
      <w:tr w14:paraId="4392B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55" w:hRule="atLeast"/>
          <w:jc w:val="center"/>
        </w:trPr>
        <w:tc>
          <w:tcPr>
            <w:tcW w:w="643" w:type="dxa"/>
            <w:noWrap w:val="0"/>
            <w:vAlign w:val="center"/>
          </w:tcPr>
          <w:p w14:paraId="0FC9CD76">
            <w:pPr>
              <w:spacing w:line="360" w:lineRule="auto"/>
              <w:jc w:val="center"/>
              <w:rPr>
                <w:rFonts w:hint="eastAsia" w:ascii="仿宋" w:hAnsi="仿宋" w:eastAsia="仿宋" w:cs="仿宋"/>
                <w:szCs w:val="21"/>
              </w:rPr>
            </w:pPr>
            <w:r>
              <w:rPr>
                <w:rFonts w:hint="eastAsia" w:ascii="仿宋" w:hAnsi="仿宋" w:eastAsia="仿宋" w:cs="仿宋"/>
                <w:szCs w:val="21"/>
              </w:rPr>
              <w:t>7</w:t>
            </w:r>
          </w:p>
        </w:tc>
        <w:tc>
          <w:tcPr>
            <w:tcW w:w="6209" w:type="dxa"/>
            <w:noWrap w:val="0"/>
            <w:vAlign w:val="center"/>
          </w:tcPr>
          <w:p w14:paraId="17BB3735">
            <w:pPr>
              <w:spacing w:line="240" w:lineRule="auto"/>
              <w:rPr>
                <w:rFonts w:hint="eastAsia" w:ascii="仿宋" w:hAnsi="仿宋" w:eastAsia="仿宋" w:cs="仿宋"/>
                <w:szCs w:val="21"/>
              </w:rPr>
            </w:pPr>
            <w:r>
              <w:rPr>
                <w:rFonts w:hint="eastAsia" w:ascii="仿宋" w:hAnsi="仿宋" w:eastAsia="仿宋" w:cs="仿宋"/>
                <w:szCs w:val="21"/>
              </w:rPr>
              <w:t>未被“信用中国”网站（www.creditchina.gov.cn）、“中国政府采购网"(www.ccgp.gov.cn)列入失信被执行人、重大税收违法案件当事人名单、政府采购严重违法失信行为记录名单</w:t>
            </w:r>
          </w:p>
        </w:tc>
        <w:tc>
          <w:tcPr>
            <w:tcW w:w="2427" w:type="dxa"/>
            <w:noWrap w:val="0"/>
            <w:vAlign w:val="center"/>
          </w:tcPr>
          <w:p w14:paraId="3E18D648">
            <w:pPr>
              <w:spacing w:line="360" w:lineRule="auto"/>
              <w:rPr>
                <w:rFonts w:hint="eastAsia" w:ascii="仿宋" w:hAnsi="仿宋" w:eastAsia="仿宋" w:cs="仿宋"/>
                <w:szCs w:val="21"/>
              </w:rPr>
            </w:pPr>
          </w:p>
        </w:tc>
      </w:tr>
      <w:tr w14:paraId="62250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43" w:type="dxa"/>
            <w:noWrap w:val="0"/>
            <w:vAlign w:val="center"/>
          </w:tcPr>
          <w:p w14:paraId="379E6D33">
            <w:pPr>
              <w:spacing w:line="360" w:lineRule="auto"/>
              <w:jc w:val="center"/>
              <w:rPr>
                <w:rFonts w:hint="eastAsia" w:ascii="仿宋" w:hAnsi="仿宋" w:eastAsia="仿宋" w:cs="仿宋"/>
                <w:szCs w:val="21"/>
              </w:rPr>
            </w:pPr>
            <w:r>
              <w:rPr>
                <w:rFonts w:hint="eastAsia" w:ascii="仿宋" w:hAnsi="仿宋" w:eastAsia="仿宋" w:cs="仿宋"/>
                <w:szCs w:val="21"/>
              </w:rPr>
              <w:t>8</w:t>
            </w:r>
          </w:p>
        </w:tc>
        <w:tc>
          <w:tcPr>
            <w:tcW w:w="6209" w:type="dxa"/>
            <w:noWrap w:val="0"/>
            <w:vAlign w:val="center"/>
          </w:tcPr>
          <w:p w14:paraId="7599CA1D">
            <w:pPr>
              <w:spacing w:line="240" w:lineRule="auto"/>
              <w:rPr>
                <w:rFonts w:hint="eastAsia" w:ascii="仿宋" w:hAnsi="仿宋" w:eastAsia="仿宋" w:cs="仿宋"/>
                <w:szCs w:val="21"/>
              </w:rPr>
            </w:pPr>
            <w:r>
              <w:rPr>
                <w:rFonts w:hint="eastAsia" w:ascii="仿宋" w:hAnsi="仿宋" w:eastAsia="仿宋" w:cs="仿宋"/>
                <w:szCs w:val="21"/>
              </w:rPr>
              <w:t>供应商信用承诺函</w:t>
            </w:r>
          </w:p>
        </w:tc>
        <w:tc>
          <w:tcPr>
            <w:tcW w:w="2427" w:type="dxa"/>
            <w:noWrap w:val="0"/>
            <w:vAlign w:val="center"/>
          </w:tcPr>
          <w:p w14:paraId="07F6239E">
            <w:pPr>
              <w:spacing w:line="360" w:lineRule="auto"/>
              <w:rPr>
                <w:rFonts w:hint="eastAsia" w:ascii="仿宋" w:hAnsi="仿宋" w:eastAsia="仿宋" w:cs="仿宋"/>
                <w:szCs w:val="21"/>
              </w:rPr>
            </w:pPr>
          </w:p>
        </w:tc>
      </w:tr>
      <w:tr w14:paraId="0715D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279" w:type="dxa"/>
            <w:gridSpan w:val="3"/>
            <w:noWrap w:val="0"/>
            <w:vAlign w:val="center"/>
          </w:tcPr>
          <w:p w14:paraId="15DF0196">
            <w:pPr>
              <w:spacing w:line="240" w:lineRule="auto"/>
              <w:rPr>
                <w:rFonts w:hint="eastAsia" w:ascii="仿宋" w:hAnsi="仿宋" w:eastAsia="仿宋" w:cs="仿宋"/>
                <w:szCs w:val="21"/>
              </w:rPr>
            </w:pPr>
            <w:r>
              <w:rPr>
                <w:rFonts w:hint="eastAsia" w:ascii="仿宋" w:hAnsi="仿宋" w:eastAsia="仿宋" w:cs="仿宋"/>
                <w:szCs w:val="21"/>
              </w:rPr>
              <w:t>落实政府采购政策需满足的资格要求</w:t>
            </w:r>
          </w:p>
        </w:tc>
      </w:tr>
      <w:tr w14:paraId="1B14C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2" w:hRule="atLeast"/>
          <w:jc w:val="center"/>
        </w:trPr>
        <w:tc>
          <w:tcPr>
            <w:tcW w:w="643" w:type="dxa"/>
            <w:noWrap w:val="0"/>
            <w:vAlign w:val="center"/>
          </w:tcPr>
          <w:p w14:paraId="7ECC645C">
            <w:pPr>
              <w:spacing w:line="240" w:lineRule="auto"/>
              <w:jc w:val="center"/>
              <w:rPr>
                <w:rFonts w:hint="eastAsia" w:ascii="仿宋" w:hAnsi="仿宋" w:eastAsia="仿宋" w:cs="仿宋"/>
                <w:szCs w:val="21"/>
              </w:rPr>
            </w:pPr>
            <w:r>
              <w:rPr>
                <w:rFonts w:hint="eastAsia" w:ascii="仿宋" w:hAnsi="仿宋" w:eastAsia="仿宋" w:cs="仿宋"/>
                <w:szCs w:val="21"/>
              </w:rPr>
              <w:t>9</w:t>
            </w:r>
          </w:p>
        </w:tc>
        <w:tc>
          <w:tcPr>
            <w:tcW w:w="6209" w:type="dxa"/>
            <w:noWrap w:val="0"/>
            <w:vAlign w:val="center"/>
          </w:tcPr>
          <w:p w14:paraId="1EEBAFE5">
            <w:pPr>
              <w:spacing w:line="240" w:lineRule="auto"/>
              <w:rPr>
                <w:rFonts w:hint="eastAsia" w:ascii="仿宋" w:hAnsi="仿宋" w:eastAsia="仿宋" w:cs="仿宋"/>
                <w:szCs w:val="21"/>
              </w:rPr>
            </w:pPr>
            <w:r>
              <w:rPr>
                <w:rFonts w:hint="eastAsia" w:ascii="仿宋" w:hAnsi="仿宋" w:eastAsia="仿宋" w:cs="仿宋"/>
                <w:szCs w:val="21"/>
              </w:rPr>
              <w:t>根据《政府采购促进中小企业发展管理办法》规定，本项目</w:t>
            </w:r>
            <w:r>
              <w:rPr>
                <w:rFonts w:hint="eastAsia" w:ascii="仿宋" w:hAnsi="仿宋" w:eastAsia="仿宋" w:cs="仿宋"/>
                <w:szCs w:val="21"/>
                <w:lang w:val="en-US" w:eastAsia="zh-CN"/>
              </w:rPr>
              <w:t>允许大中型企业和其他自然人、法人或者其他组织并与小型、微型企业（残疾人福利单位、监狱企业）组成联合体共同参加政府采购活动（需提供联合体协议）。联合体协议中约定，小型、微型企业（残疾人福利单位、监狱企业）的协议合同金额占到联合体协议合同总金额40%以上。</w:t>
            </w:r>
            <w:r>
              <w:rPr>
                <w:rFonts w:hint="eastAsia" w:ascii="仿宋" w:hAnsi="仿宋" w:eastAsia="仿宋" w:cs="仿宋"/>
                <w:szCs w:val="21"/>
              </w:rPr>
              <w:t>投标人投标时</w:t>
            </w:r>
            <w:r>
              <w:rPr>
                <w:rFonts w:hint="eastAsia" w:ascii="仿宋" w:hAnsi="仿宋" w:eastAsia="仿宋" w:cs="仿宋"/>
                <w:szCs w:val="21"/>
                <w:lang w:val="en-US" w:eastAsia="zh-CN"/>
              </w:rPr>
              <w:t>未</w:t>
            </w:r>
            <w:r>
              <w:rPr>
                <w:rFonts w:hint="eastAsia" w:ascii="仿宋" w:hAnsi="仿宋" w:eastAsia="仿宋" w:cs="仿宋"/>
                <w:szCs w:val="21"/>
              </w:rPr>
              <w:t>提供《中小企业声明函》，</w:t>
            </w:r>
            <w:r>
              <w:rPr>
                <w:rFonts w:hint="eastAsia" w:ascii="仿宋" w:hAnsi="仿宋" w:eastAsia="仿宋" w:cs="仿宋"/>
                <w:szCs w:val="21"/>
                <w:lang w:val="en-US" w:eastAsia="zh-CN"/>
              </w:rPr>
              <w:t>或</w:t>
            </w:r>
            <w:r>
              <w:rPr>
                <w:rFonts w:hint="eastAsia" w:ascii="仿宋" w:hAnsi="仿宋" w:eastAsia="仿宋" w:cs="仿宋"/>
                <w:szCs w:val="21"/>
              </w:rPr>
              <w:t>《中小企业声明函》不符合要求</w:t>
            </w:r>
            <w:r>
              <w:rPr>
                <w:rFonts w:hint="eastAsia" w:ascii="仿宋" w:hAnsi="仿宋" w:eastAsia="仿宋" w:cs="仿宋"/>
                <w:szCs w:val="21"/>
                <w:lang w:val="en-US" w:eastAsia="zh-CN"/>
              </w:rPr>
              <w:t>的，资格审查不通过</w:t>
            </w:r>
            <w:r>
              <w:rPr>
                <w:rFonts w:hint="eastAsia" w:ascii="仿宋" w:hAnsi="仿宋" w:eastAsia="仿宋" w:cs="仿宋"/>
                <w:szCs w:val="21"/>
              </w:rPr>
              <w:t>。项目类型为软件和信息技术服务业。</w:t>
            </w:r>
          </w:p>
        </w:tc>
        <w:tc>
          <w:tcPr>
            <w:tcW w:w="2427" w:type="dxa"/>
            <w:noWrap w:val="0"/>
            <w:vAlign w:val="center"/>
          </w:tcPr>
          <w:p w14:paraId="2C0A138F">
            <w:pPr>
              <w:spacing w:line="240" w:lineRule="auto"/>
              <w:rPr>
                <w:rFonts w:hint="eastAsia" w:ascii="仿宋" w:hAnsi="仿宋" w:eastAsia="仿宋" w:cs="仿宋"/>
                <w:szCs w:val="21"/>
              </w:rPr>
            </w:pPr>
          </w:p>
        </w:tc>
      </w:tr>
      <w:tr w14:paraId="7F403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4" w:hRule="atLeast"/>
          <w:jc w:val="center"/>
        </w:trPr>
        <w:tc>
          <w:tcPr>
            <w:tcW w:w="9279" w:type="dxa"/>
            <w:gridSpan w:val="3"/>
            <w:noWrap w:val="0"/>
            <w:vAlign w:val="center"/>
          </w:tcPr>
          <w:p w14:paraId="4510CD7C">
            <w:pPr>
              <w:spacing w:line="240" w:lineRule="auto"/>
              <w:rPr>
                <w:rFonts w:hint="eastAsia" w:ascii="仿宋" w:hAnsi="仿宋" w:eastAsia="仿宋" w:cs="仿宋"/>
                <w:szCs w:val="21"/>
              </w:rPr>
            </w:pPr>
            <w:r>
              <w:rPr>
                <w:rFonts w:hint="eastAsia" w:ascii="仿宋" w:hAnsi="仿宋" w:eastAsia="仿宋" w:cs="仿宋"/>
                <w:szCs w:val="21"/>
              </w:rPr>
              <w:t>特定资格条件</w:t>
            </w:r>
          </w:p>
        </w:tc>
      </w:tr>
      <w:tr w14:paraId="51A8C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atLeast"/>
          <w:jc w:val="center"/>
        </w:trPr>
        <w:tc>
          <w:tcPr>
            <w:tcW w:w="643" w:type="dxa"/>
            <w:noWrap w:val="0"/>
            <w:vAlign w:val="center"/>
          </w:tcPr>
          <w:p w14:paraId="1984E9AB">
            <w:pPr>
              <w:spacing w:line="360" w:lineRule="auto"/>
              <w:jc w:val="center"/>
              <w:rPr>
                <w:rFonts w:hint="eastAsia" w:ascii="仿宋" w:hAnsi="仿宋" w:eastAsia="仿宋" w:cs="仿宋"/>
                <w:szCs w:val="21"/>
              </w:rPr>
            </w:pPr>
            <w:r>
              <w:rPr>
                <w:rFonts w:hint="eastAsia" w:ascii="仿宋" w:hAnsi="仿宋" w:eastAsia="仿宋" w:cs="仿宋"/>
                <w:szCs w:val="21"/>
              </w:rPr>
              <w:t>10</w:t>
            </w:r>
          </w:p>
        </w:tc>
        <w:tc>
          <w:tcPr>
            <w:tcW w:w="6209" w:type="dxa"/>
            <w:noWrap w:val="0"/>
            <w:vAlign w:val="center"/>
          </w:tcPr>
          <w:p w14:paraId="10BB458C">
            <w:pPr>
              <w:spacing w:line="240" w:lineRule="auto"/>
              <w:rPr>
                <w:rFonts w:hint="eastAsia" w:ascii="仿宋" w:hAnsi="仿宋" w:eastAsia="仿宋" w:cs="仿宋"/>
                <w:iCs/>
                <w:szCs w:val="21"/>
                <w:lang w:val="en-US" w:eastAsia="zh-CN"/>
              </w:rPr>
            </w:pPr>
            <w:r>
              <w:rPr>
                <w:rFonts w:hint="eastAsia" w:ascii="仿宋" w:hAnsi="仿宋" w:eastAsia="仿宋" w:cs="仿宋"/>
                <w:i/>
                <w:iCs/>
                <w:color w:val="auto"/>
                <w:sz w:val="21"/>
                <w:szCs w:val="21"/>
                <w:u w:val="single"/>
                <w:lang w:val="en-US" w:eastAsia="zh-CN"/>
              </w:rPr>
              <w:t>无</w:t>
            </w:r>
          </w:p>
        </w:tc>
        <w:tc>
          <w:tcPr>
            <w:tcW w:w="2427" w:type="dxa"/>
            <w:noWrap w:val="0"/>
            <w:vAlign w:val="center"/>
          </w:tcPr>
          <w:p w14:paraId="5997862F">
            <w:pPr>
              <w:spacing w:line="360" w:lineRule="auto"/>
              <w:rPr>
                <w:rFonts w:hint="eastAsia" w:ascii="仿宋" w:hAnsi="仿宋" w:eastAsia="仿宋" w:cs="仿宋"/>
                <w:szCs w:val="21"/>
              </w:rPr>
            </w:pPr>
          </w:p>
        </w:tc>
      </w:tr>
      <w:tr w14:paraId="3E1C2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9279" w:type="dxa"/>
            <w:gridSpan w:val="3"/>
            <w:noWrap w:val="0"/>
            <w:vAlign w:val="center"/>
          </w:tcPr>
          <w:p w14:paraId="64AEECE3">
            <w:pPr>
              <w:spacing w:line="360" w:lineRule="auto"/>
              <w:rPr>
                <w:rFonts w:hint="eastAsia" w:ascii="仿宋" w:hAnsi="仿宋" w:eastAsia="仿宋" w:cs="仿宋"/>
                <w:szCs w:val="21"/>
              </w:rPr>
            </w:pPr>
            <w:r>
              <w:rPr>
                <w:rFonts w:hint="eastAsia" w:ascii="仿宋" w:hAnsi="仿宋" w:eastAsia="仿宋" w:cs="仿宋"/>
                <w:b/>
                <w:szCs w:val="21"/>
              </w:rPr>
              <w:t>其他资格条件</w:t>
            </w:r>
          </w:p>
        </w:tc>
      </w:tr>
      <w:tr w14:paraId="35EF0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4" w:hRule="atLeast"/>
          <w:jc w:val="center"/>
        </w:trPr>
        <w:tc>
          <w:tcPr>
            <w:tcW w:w="643" w:type="dxa"/>
            <w:noWrap w:val="0"/>
            <w:vAlign w:val="center"/>
          </w:tcPr>
          <w:p w14:paraId="47E123E6">
            <w:pPr>
              <w:spacing w:line="360" w:lineRule="auto"/>
              <w:jc w:val="center"/>
              <w:rPr>
                <w:rFonts w:hint="eastAsia" w:ascii="仿宋" w:hAnsi="仿宋" w:eastAsia="仿宋" w:cs="仿宋"/>
                <w:szCs w:val="21"/>
              </w:rPr>
            </w:pPr>
            <w:r>
              <w:rPr>
                <w:rFonts w:hint="eastAsia" w:ascii="仿宋" w:hAnsi="仿宋" w:eastAsia="仿宋" w:cs="仿宋"/>
                <w:szCs w:val="21"/>
              </w:rPr>
              <w:t>11</w:t>
            </w:r>
          </w:p>
        </w:tc>
        <w:tc>
          <w:tcPr>
            <w:tcW w:w="6209" w:type="dxa"/>
            <w:noWrap w:val="0"/>
            <w:vAlign w:val="center"/>
          </w:tcPr>
          <w:p w14:paraId="0510CE94">
            <w:pPr>
              <w:spacing w:line="360" w:lineRule="auto"/>
              <w:jc w:val="left"/>
              <w:rPr>
                <w:rFonts w:hint="eastAsia" w:ascii="仿宋" w:hAnsi="仿宋" w:eastAsia="仿宋" w:cs="仿宋"/>
                <w:iCs/>
                <w:szCs w:val="21"/>
              </w:rPr>
            </w:pPr>
            <w:r>
              <w:rPr>
                <w:rFonts w:hint="eastAsia" w:ascii="仿宋" w:hAnsi="仿宋" w:eastAsia="仿宋" w:cs="仿宋"/>
                <w:iCs/>
                <w:szCs w:val="21"/>
              </w:rPr>
              <w:t>磋商响应函</w:t>
            </w:r>
          </w:p>
        </w:tc>
        <w:tc>
          <w:tcPr>
            <w:tcW w:w="2427" w:type="dxa"/>
            <w:noWrap w:val="0"/>
            <w:vAlign w:val="center"/>
          </w:tcPr>
          <w:p w14:paraId="3A4CB7D5">
            <w:pPr>
              <w:spacing w:line="360" w:lineRule="auto"/>
              <w:rPr>
                <w:rFonts w:hint="eastAsia" w:ascii="仿宋" w:hAnsi="仿宋" w:eastAsia="仿宋" w:cs="仿宋"/>
                <w:szCs w:val="21"/>
              </w:rPr>
            </w:pPr>
          </w:p>
        </w:tc>
      </w:tr>
      <w:tr w14:paraId="60474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jc w:val="center"/>
        </w:trPr>
        <w:tc>
          <w:tcPr>
            <w:tcW w:w="643" w:type="dxa"/>
            <w:noWrap w:val="0"/>
            <w:vAlign w:val="center"/>
          </w:tcPr>
          <w:p w14:paraId="1E832C9C">
            <w:pPr>
              <w:spacing w:line="360" w:lineRule="auto"/>
              <w:jc w:val="center"/>
              <w:rPr>
                <w:rFonts w:hint="eastAsia" w:ascii="仿宋" w:hAnsi="仿宋" w:eastAsia="仿宋" w:cs="仿宋"/>
                <w:szCs w:val="21"/>
              </w:rPr>
            </w:pPr>
            <w:r>
              <w:rPr>
                <w:rFonts w:hint="eastAsia" w:ascii="仿宋" w:hAnsi="仿宋" w:eastAsia="仿宋" w:cs="仿宋"/>
                <w:szCs w:val="21"/>
              </w:rPr>
              <w:t>12</w:t>
            </w:r>
          </w:p>
        </w:tc>
        <w:tc>
          <w:tcPr>
            <w:tcW w:w="6209" w:type="dxa"/>
            <w:noWrap w:val="0"/>
            <w:vAlign w:val="center"/>
          </w:tcPr>
          <w:p w14:paraId="0DDF0D2B">
            <w:pPr>
              <w:spacing w:line="360" w:lineRule="auto"/>
              <w:jc w:val="left"/>
              <w:rPr>
                <w:rFonts w:hint="eastAsia" w:ascii="仿宋" w:hAnsi="仿宋" w:eastAsia="仿宋" w:cs="仿宋"/>
                <w:iCs/>
                <w:szCs w:val="21"/>
              </w:rPr>
            </w:pPr>
            <w:r>
              <w:rPr>
                <w:rFonts w:hint="eastAsia" w:ascii="仿宋" w:hAnsi="仿宋" w:eastAsia="仿宋" w:cs="仿宋"/>
                <w:iCs/>
                <w:szCs w:val="21"/>
              </w:rPr>
              <w:t>法人授权书</w:t>
            </w:r>
          </w:p>
        </w:tc>
        <w:tc>
          <w:tcPr>
            <w:tcW w:w="2427" w:type="dxa"/>
            <w:noWrap w:val="0"/>
            <w:vAlign w:val="center"/>
          </w:tcPr>
          <w:p w14:paraId="7FFAD100">
            <w:pPr>
              <w:spacing w:line="360" w:lineRule="auto"/>
              <w:rPr>
                <w:rFonts w:hint="eastAsia" w:ascii="仿宋" w:hAnsi="仿宋" w:eastAsia="仿宋" w:cs="仿宋"/>
                <w:szCs w:val="21"/>
              </w:rPr>
            </w:pPr>
          </w:p>
        </w:tc>
      </w:tr>
    </w:tbl>
    <w:p w14:paraId="6D46E0EB">
      <w:pPr>
        <w:spacing w:before="156" w:after="156" w:line="360" w:lineRule="auto"/>
        <w:jc w:val="center"/>
        <w:rPr>
          <w:rFonts w:hint="eastAsia" w:ascii="仿宋" w:hAnsi="仿宋" w:eastAsia="仿宋" w:cs="仿宋"/>
          <w:b/>
          <w:bCs/>
        </w:rPr>
      </w:pPr>
    </w:p>
    <w:p w14:paraId="695A5FA5">
      <w:pPr>
        <w:spacing w:before="156" w:after="156" w:line="360" w:lineRule="auto"/>
        <w:jc w:val="center"/>
        <w:rPr>
          <w:rFonts w:hint="eastAsia" w:ascii="仿宋" w:hAnsi="仿宋" w:eastAsia="仿宋" w:cs="仿宋"/>
          <w:b/>
          <w:bCs/>
        </w:rPr>
      </w:pPr>
    </w:p>
    <w:p w14:paraId="3BEE772E">
      <w:pPr>
        <w:rPr>
          <w:rFonts w:hint="eastAsia" w:ascii="仿宋" w:hAnsi="仿宋" w:eastAsia="仿宋" w:cs="仿宋"/>
          <w:b/>
          <w:bCs/>
        </w:rPr>
      </w:pPr>
      <w:r>
        <w:rPr>
          <w:rFonts w:hint="eastAsia" w:ascii="仿宋" w:hAnsi="仿宋" w:eastAsia="仿宋" w:cs="仿宋"/>
          <w:b/>
          <w:bCs/>
        </w:rPr>
        <w:br w:type="page"/>
      </w:r>
    </w:p>
    <w:p w14:paraId="696BEB5C">
      <w:pPr>
        <w:spacing w:before="156" w:after="156" w:line="360" w:lineRule="auto"/>
        <w:jc w:val="center"/>
        <w:rPr>
          <w:rFonts w:hint="eastAsia" w:ascii="仿宋" w:hAnsi="仿宋" w:eastAsia="仿宋" w:cs="仿宋"/>
          <w:b/>
          <w:bCs/>
        </w:rPr>
      </w:pPr>
    </w:p>
    <w:p w14:paraId="7BEF7C3F">
      <w:pPr>
        <w:spacing w:before="156" w:after="156" w:line="360" w:lineRule="auto"/>
        <w:jc w:val="center"/>
        <w:rPr>
          <w:rFonts w:hint="eastAsia" w:ascii="仿宋" w:hAnsi="仿宋" w:eastAsia="仿宋" w:cs="仿宋"/>
          <w:b/>
          <w:bCs/>
        </w:rPr>
      </w:pPr>
      <w:r>
        <w:rPr>
          <w:rFonts w:hint="eastAsia" w:ascii="仿宋" w:hAnsi="仿宋" w:eastAsia="仿宋" w:cs="仿宋"/>
          <w:b/>
          <w:bCs/>
        </w:rPr>
        <w:t>具备履行合同所必需的设备和专业技术能力的书面声明</w:t>
      </w:r>
    </w:p>
    <w:p w14:paraId="267F9C15">
      <w:pPr>
        <w:spacing w:line="360" w:lineRule="auto"/>
        <w:ind w:firstLine="492"/>
        <w:jc w:val="left"/>
        <w:rPr>
          <w:rFonts w:hint="eastAsia" w:ascii="仿宋" w:hAnsi="仿宋" w:eastAsia="仿宋" w:cs="仿宋"/>
          <w:bCs/>
          <w:szCs w:val="21"/>
        </w:rPr>
      </w:pPr>
      <w:r>
        <w:rPr>
          <w:rFonts w:hint="eastAsia" w:ascii="仿宋" w:hAnsi="仿宋" w:eastAsia="仿宋" w:cs="仿宋"/>
          <w:bCs/>
          <w:szCs w:val="21"/>
        </w:rPr>
        <w:t>我单位郑重声明：我单位具备履行本项采购合同所必需的设备和专业技术能力，为履行本项采购合同我公司具备如下主要设备和主要专业技术能力：</w:t>
      </w:r>
    </w:p>
    <w:p w14:paraId="68F6ECE0">
      <w:pPr>
        <w:spacing w:line="360" w:lineRule="auto"/>
        <w:ind w:firstLine="492"/>
        <w:rPr>
          <w:rFonts w:hint="eastAsia" w:ascii="仿宋" w:hAnsi="仿宋" w:eastAsia="仿宋" w:cs="仿宋"/>
          <w:bCs/>
          <w:szCs w:val="21"/>
        </w:rPr>
      </w:pPr>
      <w:r>
        <w:rPr>
          <w:rFonts w:hint="eastAsia" w:ascii="仿宋" w:hAnsi="仿宋" w:eastAsia="仿宋" w:cs="仿宋"/>
          <w:bCs/>
          <w:szCs w:val="21"/>
        </w:rPr>
        <w:t>主要设备有：。</w:t>
      </w:r>
    </w:p>
    <w:p w14:paraId="797E0177">
      <w:pPr>
        <w:spacing w:line="360" w:lineRule="auto"/>
        <w:ind w:firstLine="492"/>
        <w:rPr>
          <w:rFonts w:hint="eastAsia" w:ascii="仿宋" w:hAnsi="仿宋" w:eastAsia="仿宋" w:cs="仿宋"/>
          <w:bCs/>
          <w:szCs w:val="21"/>
        </w:rPr>
      </w:pPr>
      <w:r>
        <w:rPr>
          <w:rFonts w:hint="eastAsia" w:ascii="仿宋" w:hAnsi="仿宋" w:eastAsia="仿宋" w:cs="仿宋"/>
          <w:bCs/>
          <w:szCs w:val="21"/>
        </w:rPr>
        <w:t>主要专业技术能力有：。</w:t>
      </w:r>
    </w:p>
    <w:p w14:paraId="1308DDC1">
      <w:pPr>
        <w:spacing w:line="360" w:lineRule="auto"/>
        <w:ind w:left="0" w:leftChars="0" w:firstLine="1478" w:firstLineChars="704"/>
        <w:rPr>
          <w:rFonts w:hint="eastAsia" w:ascii="仿宋" w:hAnsi="仿宋" w:eastAsia="仿宋" w:cs="仿宋"/>
          <w:bCs/>
        </w:rPr>
      </w:pPr>
    </w:p>
    <w:p w14:paraId="2130B56E">
      <w:pPr>
        <w:spacing w:line="360" w:lineRule="auto"/>
        <w:ind w:left="0" w:leftChars="0" w:firstLine="1478" w:firstLineChars="704"/>
        <w:rPr>
          <w:rFonts w:hint="eastAsia" w:ascii="仿宋" w:hAnsi="仿宋" w:eastAsia="仿宋" w:cs="仿宋"/>
          <w:bCs/>
        </w:rPr>
      </w:pPr>
    </w:p>
    <w:p w14:paraId="73A9BD0B">
      <w:pPr>
        <w:spacing w:line="360" w:lineRule="auto"/>
        <w:ind w:left="0" w:leftChars="0" w:firstLine="1478" w:firstLineChars="704"/>
        <w:rPr>
          <w:rFonts w:hint="eastAsia" w:ascii="仿宋" w:hAnsi="仿宋" w:eastAsia="仿宋" w:cs="仿宋"/>
          <w:bCs/>
        </w:rPr>
      </w:pPr>
      <w:r>
        <w:rPr>
          <w:rFonts w:hint="eastAsia" w:ascii="仿宋" w:hAnsi="仿宋" w:eastAsia="仿宋" w:cs="仿宋"/>
          <w:bCs/>
        </w:rPr>
        <w:t>供应商名称（公章）：</w:t>
      </w:r>
    </w:p>
    <w:p w14:paraId="3201AF93">
      <w:pPr>
        <w:spacing w:line="360" w:lineRule="auto"/>
        <w:ind w:left="0" w:leftChars="0" w:firstLine="1478" w:firstLineChars="704"/>
        <w:rPr>
          <w:rFonts w:hint="eastAsia" w:ascii="仿宋" w:hAnsi="仿宋" w:eastAsia="仿宋" w:cs="仿宋"/>
          <w:bCs/>
        </w:rPr>
      </w:pPr>
      <w:r>
        <w:rPr>
          <w:rFonts w:hint="eastAsia" w:ascii="仿宋" w:hAnsi="仿宋" w:eastAsia="仿宋" w:cs="仿宋"/>
          <w:bCs/>
        </w:rPr>
        <w:t>法定代表人签章：</w:t>
      </w:r>
      <w:r>
        <w:rPr>
          <w:rFonts w:hint="eastAsia" w:ascii="仿宋" w:hAnsi="仿宋" w:eastAsia="仿宋" w:cs="仿宋"/>
          <w:bCs/>
          <w:u w:val="single"/>
        </w:rPr>
        <w:t>_______________________</w:t>
      </w:r>
    </w:p>
    <w:p w14:paraId="59AD2F6E">
      <w:pPr>
        <w:spacing w:line="360" w:lineRule="auto"/>
        <w:ind w:left="0" w:leftChars="0" w:firstLine="1478" w:firstLineChars="704"/>
        <w:rPr>
          <w:rFonts w:hint="eastAsia" w:ascii="仿宋" w:hAnsi="仿宋" w:eastAsia="仿宋" w:cs="仿宋"/>
          <w:bCs/>
        </w:rPr>
      </w:pPr>
      <w:r>
        <w:rPr>
          <w:rFonts w:hint="eastAsia" w:ascii="仿宋" w:hAnsi="仿宋" w:eastAsia="仿宋" w:cs="仿宋"/>
          <w:bCs/>
        </w:rPr>
        <w:t>日期：</w:t>
      </w:r>
      <w:r>
        <w:rPr>
          <w:rFonts w:hint="eastAsia" w:ascii="仿宋" w:hAnsi="仿宋" w:eastAsia="仿宋" w:cs="仿宋"/>
          <w:bCs/>
          <w:lang w:val="en-US" w:eastAsia="zh-CN"/>
        </w:rPr>
        <w:t xml:space="preserve"> </w:t>
      </w:r>
      <w:r>
        <w:rPr>
          <w:rFonts w:hint="eastAsia" w:ascii="仿宋" w:hAnsi="仿宋" w:eastAsia="仿宋" w:cs="仿宋"/>
          <w:bCs/>
        </w:rPr>
        <w:t>年月日</w:t>
      </w:r>
    </w:p>
    <w:p w14:paraId="423FE0AD">
      <w:pPr>
        <w:spacing w:line="360" w:lineRule="auto"/>
        <w:rPr>
          <w:rFonts w:hint="eastAsia" w:ascii="仿宋" w:hAnsi="仿宋" w:eastAsia="仿宋" w:cs="仿宋"/>
          <w:b/>
          <w:bCs/>
        </w:rPr>
        <w:sectPr>
          <w:footerReference r:id="rId5" w:type="default"/>
          <w:pgSz w:w="11906" w:h="16838"/>
          <w:pgMar w:top="1134" w:right="1134" w:bottom="1134" w:left="1134" w:header="851" w:footer="992" w:gutter="0"/>
          <w:pgNumType w:fmt="decimal" w:start="1"/>
          <w:cols w:space="1701" w:num="1"/>
          <w:docGrid w:linePitch="360" w:charSpace="0"/>
        </w:sectPr>
      </w:pPr>
    </w:p>
    <w:p w14:paraId="092109A4">
      <w:pPr>
        <w:spacing w:line="360" w:lineRule="auto"/>
        <w:jc w:val="center"/>
        <w:rPr>
          <w:rFonts w:hint="eastAsia" w:ascii="仿宋" w:hAnsi="仿宋" w:eastAsia="仿宋" w:cs="仿宋"/>
          <w:b/>
          <w:bCs/>
        </w:rPr>
      </w:pPr>
      <w:r>
        <w:rPr>
          <w:rFonts w:hint="eastAsia" w:ascii="仿宋" w:hAnsi="仿宋" w:eastAsia="仿宋" w:cs="仿宋"/>
          <w:b/>
          <w:bCs/>
        </w:rPr>
        <w:t>参加本次政府采购活动前3年内在经营活动中没有重大违法记录的书面声明</w:t>
      </w:r>
    </w:p>
    <w:p w14:paraId="4DFB1985">
      <w:pPr>
        <w:spacing w:line="360" w:lineRule="auto"/>
        <w:rPr>
          <w:rFonts w:hint="eastAsia" w:ascii="仿宋" w:hAnsi="仿宋" w:eastAsia="仿宋" w:cs="仿宋"/>
        </w:rPr>
      </w:pPr>
    </w:p>
    <w:p w14:paraId="3AD8211D">
      <w:pPr>
        <w:spacing w:after="312" w:line="360" w:lineRule="auto"/>
        <w:jc w:val="center"/>
        <w:rPr>
          <w:rFonts w:hint="eastAsia" w:ascii="仿宋" w:hAnsi="仿宋" w:eastAsia="仿宋" w:cs="仿宋"/>
          <w:b/>
          <w:bCs/>
        </w:rPr>
      </w:pPr>
      <w:r>
        <w:rPr>
          <w:rFonts w:hint="eastAsia" w:ascii="仿宋" w:hAnsi="仿宋" w:eastAsia="仿宋" w:cs="仿宋"/>
          <w:b/>
          <w:bCs/>
        </w:rPr>
        <w:t>声明</w:t>
      </w:r>
    </w:p>
    <w:p w14:paraId="41E75972">
      <w:pPr>
        <w:spacing w:line="360" w:lineRule="auto"/>
        <w:ind w:left="0" w:leftChars="0" w:firstLine="420" w:firstLineChars="200"/>
        <w:rPr>
          <w:rFonts w:hint="eastAsia" w:ascii="仿宋" w:hAnsi="仿宋" w:eastAsia="仿宋" w:cs="仿宋"/>
          <w:bCs/>
        </w:rPr>
      </w:pPr>
      <w:r>
        <w:rPr>
          <w:rFonts w:hint="eastAsia" w:ascii="仿宋" w:hAnsi="仿宋" w:eastAsia="仿宋" w:cs="仿宋"/>
          <w:bCs/>
        </w:rPr>
        <w:t>我公司郑重声明：参加本次政府采购活动前3年内，我公司在经营活动中没有因违法经营受到刑事处罚或者责令停产停业、吊销许可证或者执照、较大数额罚款等行政处罚。</w:t>
      </w:r>
    </w:p>
    <w:p w14:paraId="785D66ED">
      <w:pPr>
        <w:spacing w:line="360" w:lineRule="auto"/>
        <w:ind w:left="0" w:leftChars="0" w:firstLine="420" w:firstLineChars="200"/>
        <w:rPr>
          <w:rFonts w:hint="eastAsia" w:ascii="仿宋" w:hAnsi="仿宋" w:eastAsia="仿宋" w:cs="仿宋"/>
          <w:bCs/>
        </w:rPr>
      </w:pPr>
      <w:r>
        <w:rPr>
          <w:rFonts w:hint="eastAsia" w:ascii="仿宋" w:hAnsi="仿宋" w:eastAsia="仿宋" w:cs="仿宋"/>
          <w:bCs/>
        </w:rPr>
        <w:t>供应商名称（公章）：</w:t>
      </w:r>
    </w:p>
    <w:p w14:paraId="733382BF">
      <w:pPr>
        <w:spacing w:line="360" w:lineRule="auto"/>
        <w:ind w:left="0" w:leftChars="0" w:firstLine="420" w:firstLineChars="200"/>
        <w:rPr>
          <w:rFonts w:hint="eastAsia" w:ascii="仿宋" w:hAnsi="仿宋" w:eastAsia="仿宋" w:cs="仿宋"/>
          <w:bCs/>
        </w:rPr>
      </w:pPr>
      <w:r>
        <w:rPr>
          <w:rFonts w:hint="eastAsia" w:ascii="仿宋" w:hAnsi="仿宋" w:eastAsia="仿宋" w:cs="仿宋"/>
          <w:bCs/>
        </w:rPr>
        <w:t>法定代表人签章：</w:t>
      </w:r>
      <w:r>
        <w:rPr>
          <w:rFonts w:hint="eastAsia" w:ascii="仿宋" w:hAnsi="仿宋" w:eastAsia="仿宋" w:cs="仿宋"/>
          <w:bCs/>
          <w:u w:val="single"/>
        </w:rPr>
        <w:t>_______________________</w:t>
      </w:r>
    </w:p>
    <w:p w14:paraId="50EB8B89">
      <w:pPr>
        <w:spacing w:line="360" w:lineRule="auto"/>
        <w:ind w:left="0" w:leftChars="0" w:firstLine="420" w:firstLineChars="200"/>
        <w:rPr>
          <w:rFonts w:hint="eastAsia" w:ascii="仿宋" w:hAnsi="仿宋" w:eastAsia="仿宋" w:cs="仿宋"/>
          <w:bCs/>
        </w:rPr>
      </w:pPr>
      <w:r>
        <w:rPr>
          <w:rFonts w:hint="eastAsia" w:ascii="仿宋" w:hAnsi="仿宋" w:eastAsia="仿宋" w:cs="仿宋"/>
          <w:bCs/>
        </w:rPr>
        <w:t>日期：</w:t>
      </w:r>
      <w:r>
        <w:rPr>
          <w:rFonts w:hint="eastAsia" w:ascii="仿宋" w:hAnsi="仿宋" w:eastAsia="仿宋" w:cs="仿宋"/>
          <w:bCs/>
          <w:u w:val="single"/>
        </w:rPr>
        <w:t>______</w:t>
      </w:r>
      <w:r>
        <w:rPr>
          <w:rFonts w:hint="eastAsia" w:ascii="仿宋" w:hAnsi="仿宋" w:eastAsia="仿宋" w:cs="仿宋"/>
          <w:bCs/>
        </w:rPr>
        <w:t>年月日</w:t>
      </w:r>
    </w:p>
    <w:p w14:paraId="36AF88C6">
      <w:pPr>
        <w:spacing w:line="360" w:lineRule="auto"/>
        <w:rPr>
          <w:rFonts w:hint="eastAsia" w:ascii="仿宋" w:hAnsi="仿宋" w:eastAsia="仿宋" w:cs="仿宋"/>
          <w:b/>
          <w:bCs/>
        </w:rPr>
        <w:sectPr>
          <w:headerReference r:id="rId6" w:type="default"/>
          <w:footerReference r:id="rId7" w:type="default"/>
          <w:pgSz w:w="11906" w:h="16838"/>
          <w:pgMar w:top="1134" w:right="1134" w:bottom="1134" w:left="1134" w:header="851" w:footer="992" w:gutter="0"/>
          <w:pgNumType w:fmt="decimal"/>
          <w:cols w:space="1701" w:num="1"/>
          <w:docGrid w:linePitch="360" w:charSpace="0"/>
        </w:sectPr>
      </w:pPr>
    </w:p>
    <w:p w14:paraId="2C531BD1">
      <w:pPr>
        <w:spacing w:line="360" w:lineRule="auto"/>
        <w:jc w:val="center"/>
        <w:rPr>
          <w:rFonts w:hint="eastAsia" w:ascii="仿宋" w:hAnsi="仿宋" w:eastAsia="仿宋" w:cs="仿宋"/>
          <w:b/>
          <w:szCs w:val="21"/>
        </w:rPr>
      </w:pPr>
      <w:r>
        <w:rPr>
          <w:rFonts w:hint="eastAsia" w:ascii="仿宋" w:hAnsi="仿宋" w:eastAsia="仿宋" w:cs="仿宋"/>
          <w:b/>
          <w:szCs w:val="21"/>
        </w:rPr>
        <w:t>供应商信用承诺书</w:t>
      </w:r>
    </w:p>
    <w:p w14:paraId="79262E6F">
      <w:pPr>
        <w:spacing w:line="360" w:lineRule="auto"/>
        <w:rPr>
          <w:rFonts w:hint="eastAsia" w:ascii="仿宋" w:hAnsi="仿宋" w:eastAsia="仿宋" w:cs="仿宋"/>
          <w:szCs w:val="32"/>
        </w:rPr>
      </w:pPr>
    </w:p>
    <w:p w14:paraId="6C42A5D7">
      <w:pPr>
        <w:spacing w:line="360" w:lineRule="auto"/>
        <w:rPr>
          <w:rFonts w:hint="eastAsia" w:ascii="仿宋" w:hAnsi="仿宋" w:eastAsia="仿宋" w:cs="仿宋"/>
          <w:szCs w:val="21"/>
        </w:rPr>
      </w:pPr>
      <w:r>
        <w:rPr>
          <w:rFonts w:hint="eastAsia" w:ascii="仿宋" w:hAnsi="仿宋" w:eastAsia="仿宋" w:cs="仿宋"/>
          <w:szCs w:val="21"/>
        </w:rPr>
        <w:t>承诺主体名称：</w:t>
      </w:r>
    </w:p>
    <w:p w14:paraId="3F98ACA0">
      <w:pPr>
        <w:spacing w:line="360" w:lineRule="auto"/>
        <w:rPr>
          <w:rFonts w:hint="eastAsia" w:ascii="仿宋" w:hAnsi="仿宋" w:eastAsia="仿宋" w:cs="仿宋"/>
          <w:szCs w:val="21"/>
        </w:rPr>
      </w:pPr>
      <w:r>
        <w:rPr>
          <w:rFonts w:hint="eastAsia" w:ascii="仿宋" w:hAnsi="仿宋" w:eastAsia="仿宋" w:cs="仿宋"/>
          <w:szCs w:val="21"/>
        </w:rPr>
        <w:t>统一社会信用代码：</w:t>
      </w:r>
    </w:p>
    <w:p w14:paraId="602CBFC0">
      <w:pPr>
        <w:spacing w:line="360" w:lineRule="auto"/>
        <w:rPr>
          <w:rFonts w:hint="eastAsia" w:ascii="仿宋" w:hAnsi="仿宋" w:eastAsia="仿宋" w:cs="仿宋"/>
          <w:szCs w:val="21"/>
        </w:rPr>
      </w:pPr>
    </w:p>
    <w:p w14:paraId="4AC4C05E">
      <w:pPr>
        <w:spacing w:line="360" w:lineRule="auto"/>
        <w:ind w:firstLine="420"/>
        <w:rPr>
          <w:rFonts w:hint="eastAsia" w:ascii="仿宋" w:hAnsi="仿宋" w:eastAsia="仿宋" w:cs="仿宋"/>
          <w:szCs w:val="21"/>
        </w:rPr>
      </w:pPr>
      <w:r>
        <w:rPr>
          <w:rFonts w:hint="eastAsia" w:ascii="仿宋" w:hAnsi="仿宋" w:eastAsia="仿宋" w:cs="仿宋"/>
          <w:szCs w:val="21"/>
        </w:rPr>
        <w:t>为维护公平竞争、规范有序的市场秩序，营造诚实守信的信用环境，共同推进社会信用体系建设完善，树立企业诚信守法形象，本企业对________________________项目政府采购活动郑重承诺如下:</w:t>
      </w:r>
    </w:p>
    <w:p w14:paraId="6B86367D">
      <w:pPr>
        <w:spacing w:line="360" w:lineRule="auto"/>
        <w:ind w:firstLine="420"/>
        <w:rPr>
          <w:rFonts w:hint="eastAsia" w:ascii="仿宋" w:hAnsi="仿宋" w:eastAsia="仿宋" w:cs="仿宋"/>
          <w:szCs w:val="21"/>
        </w:rPr>
      </w:pPr>
      <w:r>
        <w:rPr>
          <w:rFonts w:hint="eastAsia" w:ascii="仿宋" w:hAnsi="仿宋" w:eastAsia="仿宋" w:cs="仿宋"/>
          <w:szCs w:val="21"/>
        </w:rPr>
        <w:t>一、对提供给注册登记部门、行业管理部门、司法部门、行业组织以及在政府采购活动中提交的所有资料的合法性、真实性、准确性和有效性负责；</w:t>
      </w:r>
    </w:p>
    <w:p w14:paraId="1FA44781">
      <w:pPr>
        <w:spacing w:line="360" w:lineRule="auto"/>
        <w:ind w:firstLine="420"/>
        <w:rPr>
          <w:rFonts w:hint="eastAsia" w:ascii="仿宋" w:hAnsi="仿宋" w:eastAsia="仿宋" w:cs="仿宋"/>
          <w:szCs w:val="21"/>
        </w:rPr>
      </w:pPr>
      <w:r>
        <w:rPr>
          <w:rFonts w:hint="eastAsia" w:ascii="仿宋" w:hAnsi="仿宋" w:eastAsia="仿宋" w:cs="仿宋"/>
          <w:szCs w:val="21"/>
        </w:rPr>
        <w:t>二、严格按照国家法律、法规和规章开展采购活动，全面履行应尽的责任和义务，全面做到履约守信，具备《中华人民共和国政府采购法》第二十二条第一款规定的条件;</w:t>
      </w:r>
    </w:p>
    <w:p w14:paraId="41E6FC4A">
      <w:pPr>
        <w:spacing w:line="360" w:lineRule="auto"/>
        <w:ind w:firstLine="420"/>
        <w:rPr>
          <w:rFonts w:hint="eastAsia" w:ascii="仿宋" w:hAnsi="仿宋" w:eastAsia="仿宋" w:cs="仿宋"/>
          <w:szCs w:val="21"/>
        </w:rPr>
      </w:pPr>
      <w:r>
        <w:rPr>
          <w:rFonts w:hint="eastAsia" w:ascii="仿宋" w:hAnsi="仿宋" w:eastAsia="仿宋" w:cs="仿宋"/>
          <w:szCs w:val="21"/>
        </w:rPr>
        <w:t>三、严格依法开展生产经营活动，主动接受行业监管，自愿接受依法开展的日常检查；违法失信经营后将自愿接受约束和惩戒，并依法承担相应责任；</w:t>
      </w:r>
    </w:p>
    <w:p w14:paraId="3762E748">
      <w:pPr>
        <w:spacing w:line="360" w:lineRule="auto"/>
        <w:ind w:firstLine="420"/>
        <w:rPr>
          <w:rFonts w:hint="eastAsia" w:ascii="仿宋" w:hAnsi="仿宋" w:eastAsia="仿宋" w:cs="仿宋"/>
          <w:szCs w:val="21"/>
        </w:rPr>
      </w:pPr>
      <w:r>
        <w:rPr>
          <w:rFonts w:hint="eastAsia" w:ascii="仿宋" w:hAnsi="仿宋" w:eastAsia="仿宋" w:cs="仿宋"/>
          <w:szCs w:val="21"/>
        </w:rPr>
        <w:t>四、自觉接受行政管理部门、行业组织、社会公众、新闻舆论的监督；</w:t>
      </w:r>
    </w:p>
    <w:p w14:paraId="28174A3F">
      <w:pPr>
        <w:spacing w:line="360" w:lineRule="auto"/>
        <w:ind w:firstLine="420"/>
        <w:rPr>
          <w:rFonts w:hint="eastAsia" w:ascii="仿宋" w:hAnsi="仿宋" w:eastAsia="仿宋" w:cs="仿宋"/>
          <w:szCs w:val="21"/>
        </w:rPr>
      </w:pPr>
      <w:r>
        <w:rPr>
          <w:rFonts w:hint="eastAsia" w:ascii="仿宋" w:hAnsi="仿宋" w:eastAsia="仿宋" w:cs="仿宋"/>
          <w:szCs w:val="21"/>
        </w:rPr>
        <w:t>五、自觉做到自我约束、自我管理，不制假售假、商标侵权、虚假宣传、违约毁约、恶意逃债、偷税漏税、垄断和不正当竞争，维护经营者、消费者的合法权益；</w:t>
      </w:r>
    </w:p>
    <w:p w14:paraId="3638A3E4">
      <w:pPr>
        <w:spacing w:line="360" w:lineRule="auto"/>
        <w:ind w:firstLine="420"/>
        <w:rPr>
          <w:rFonts w:hint="eastAsia" w:ascii="仿宋" w:hAnsi="仿宋" w:eastAsia="仿宋" w:cs="仿宋"/>
          <w:szCs w:val="21"/>
        </w:rPr>
      </w:pPr>
      <w:r>
        <w:rPr>
          <w:rFonts w:hint="eastAsia" w:ascii="仿宋" w:hAnsi="仿宋" w:eastAsia="仿宋" w:cs="仿宋"/>
          <w:szCs w:val="21"/>
        </w:rPr>
        <w:t>六、提出政府采购质疑和投诉坚持依法依规、诚实信用原则，在全国范围12个月内没有三次以上查无实据的政府采购投诉；</w:t>
      </w:r>
    </w:p>
    <w:p w14:paraId="279D6665">
      <w:pPr>
        <w:spacing w:line="360" w:lineRule="auto"/>
        <w:ind w:firstLine="420"/>
        <w:rPr>
          <w:rFonts w:hint="eastAsia" w:ascii="仿宋" w:hAnsi="仿宋" w:eastAsia="仿宋" w:cs="仿宋"/>
          <w:szCs w:val="21"/>
        </w:rPr>
      </w:pPr>
      <w:r>
        <w:rPr>
          <w:rFonts w:hint="eastAsia" w:ascii="仿宋" w:hAnsi="仿宋" w:eastAsia="仿宋" w:cs="仿宋"/>
          <w:szCs w:val="21"/>
        </w:rPr>
        <w:t>七、严格遵守信用信息公示相关规定，向社会公示信用信息；</w:t>
      </w:r>
    </w:p>
    <w:p w14:paraId="24F1DABC">
      <w:pPr>
        <w:spacing w:line="360" w:lineRule="auto"/>
        <w:ind w:firstLine="420"/>
        <w:rPr>
          <w:rFonts w:hint="eastAsia" w:ascii="仿宋" w:hAnsi="仿宋" w:eastAsia="仿宋" w:cs="仿宋"/>
          <w:szCs w:val="21"/>
        </w:rPr>
      </w:pPr>
      <w:r>
        <w:rPr>
          <w:rFonts w:hint="eastAsia" w:ascii="仿宋" w:hAnsi="仿宋" w:eastAsia="仿宋" w:cs="仿宋"/>
          <w:szCs w:val="21"/>
        </w:rPr>
        <w:t>八、在“信用中国”和“中国政府采购网”网站中无违法违规、较重或严重失信记录；</w:t>
      </w:r>
    </w:p>
    <w:p w14:paraId="741EB29E">
      <w:pPr>
        <w:spacing w:line="360" w:lineRule="auto"/>
        <w:ind w:firstLine="420"/>
        <w:rPr>
          <w:rFonts w:hint="eastAsia" w:ascii="仿宋" w:hAnsi="仿宋" w:eastAsia="仿宋" w:cs="仿宋"/>
          <w:szCs w:val="21"/>
        </w:rPr>
      </w:pPr>
      <w:r>
        <w:rPr>
          <w:rFonts w:hint="eastAsia" w:ascii="仿宋" w:hAnsi="仿宋" w:eastAsia="仿宋" w:cs="仿宋"/>
          <w:szCs w:val="21"/>
        </w:rPr>
        <w:t>九、如违反承诺，自愿接受管理部门依法给予的行政处罚，同意将违反承诺的行为作为不良记录记入信用档案，依法依规进行信息公示，并承担所产生的一切法律责任和经济损失。</w:t>
      </w:r>
    </w:p>
    <w:p w14:paraId="1048C1A0">
      <w:pPr>
        <w:spacing w:line="360" w:lineRule="auto"/>
        <w:ind w:firstLine="420"/>
        <w:rPr>
          <w:rFonts w:hint="eastAsia" w:ascii="仿宋" w:hAnsi="仿宋" w:eastAsia="仿宋" w:cs="仿宋"/>
          <w:szCs w:val="21"/>
        </w:rPr>
      </w:pPr>
      <w:r>
        <w:rPr>
          <w:rFonts w:hint="eastAsia" w:ascii="仿宋" w:hAnsi="仿宋" w:eastAsia="仿宋" w:cs="仿宋"/>
          <w:szCs w:val="21"/>
        </w:rPr>
        <w:t>十、本承诺书自签订之日起生效。</w:t>
      </w:r>
    </w:p>
    <w:p w14:paraId="08EC7AC3">
      <w:pPr>
        <w:spacing w:line="360" w:lineRule="auto"/>
        <w:ind w:firstLine="420"/>
        <w:rPr>
          <w:rFonts w:hint="eastAsia" w:ascii="仿宋" w:hAnsi="仿宋" w:eastAsia="仿宋" w:cs="仿宋"/>
          <w:szCs w:val="21"/>
        </w:rPr>
      </w:pPr>
      <w:r>
        <w:rPr>
          <w:rFonts w:hint="eastAsia" w:ascii="仿宋" w:hAnsi="仿宋" w:eastAsia="仿宋" w:cs="仿宋"/>
          <w:szCs w:val="21"/>
        </w:rPr>
        <w:t> （注：法定代表人或负责人、主体名称发生变更的应当重新做出承诺。）</w:t>
      </w:r>
    </w:p>
    <w:p w14:paraId="2EBBBEAD">
      <w:pPr>
        <w:spacing w:line="360" w:lineRule="auto"/>
        <w:jc w:val="center"/>
        <w:rPr>
          <w:rFonts w:hint="eastAsia" w:ascii="仿宋" w:hAnsi="仿宋" w:eastAsia="仿宋" w:cs="仿宋"/>
          <w:szCs w:val="21"/>
          <w:lang w:eastAsia="zh-CN"/>
        </w:rPr>
      </w:pPr>
      <w:r>
        <w:rPr>
          <w:rFonts w:hint="eastAsia" w:ascii="仿宋" w:hAnsi="仿宋" w:eastAsia="仿宋" w:cs="仿宋"/>
          <w:szCs w:val="21"/>
        </w:rPr>
        <w:t>　　　　　　　　　　承诺单位（签章）：          </w:t>
      </w:r>
    </w:p>
    <w:p w14:paraId="012410D1">
      <w:pPr>
        <w:spacing w:line="360" w:lineRule="auto"/>
        <w:jc w:val="center"/>
        <w:rPr>
          <w:rFonts w:hint="eastAsia" w:ascii="仿宋" w:hAnsi="仿宋" w:eastAsia="仿宋" w:cs="仿宋"/>
          <w:szCs w:val="21"/>
        </w:rPr>
      </w:pPr>
      <w:r>
        <w:rPr>
          <w:rFonts w:hint="eastAsia" w:ascii="仿宋" w:hAnsi="仿宋" w:eastAsia="仿宋" w:cs="仿宋"/>
          <w:szCs w:val="21"/>
        </w:rPr>
        <w:t>　　　　　　　　　　法定代表人（负责人）：</w:t>
      </w:r>
    </w:p>
    <w:p w14:paraId="02828352">
      <w:pPr>
        <w:spacing w:line="360" w:lineRule="auto"/>
        <w:jc w:val="center"/>
        <w:rPr>
          <w:rFonts w:hint="eastAsia" w:ascii="仿宋" w:hAnsi="仿宋" w:eastAsia="仿宋" w:cs="仿宋"/>
          <w:szCs w:val="21"/>
        </w:rPr>
      </w:pPr>
      <w:r>
        <w:rPr>
          <w:rFonts w:hint="eastAsia" w:ascii="仿宋" w:hAnsi="仿宋" w:eastAsia="仿宋" w:cs="仿宋"/>
          <w:szCs w:val="21"/>
        </w:rPr>
        <w:t>　　　　　　　　　　年   月   日</w:t>
      </w:r>
    </w:p>
    <w:p w14:paraId="6B7CF05F">
      <w:pPr>
        <w:spacing w:line="360" w:lineRule="auto"/>
        <w:jc w:val="center"/>
        <w:rPr>
          <w:rFonts w:hint="eastAsia" w:ascii="仿宋" w:hAnsi="仿宋" w:eastAsia="仿宋" w:cs="仿宋"/>
          <w:b/>
          <w:bCs/>
        </w:rPr>
        <w:sectPr>
          <w:pgSz w:w="11906" w:h="16838"/>
          <w:pgMar w:top="1134" w:right="1134" w:bottom="1134" w:left="1134" w:header="851" w:footer="992" w:gutter="0"/>
          <w:pgNumType w:fmt="decimal"/>
          <w:cols w:space="1701" w:num="1"/>
          <w:docGrid w:linePitch="360" w:charSpace="0"/>
        </w:sectPr>
      </w:pPr>
    </w:p>
    <w:p w14:paraId="5E2F49EB">
      <w:pPr>
        <w:spacing w:line="360" w:lineRule="auto"/>
        <w:jc w:val="center"/>
        <w:rPr>
          <w:rFonts w:hint="eastAsia" w:ascii="仿宋" w:hAnsi="仿宋" w:eastAsia="仿宋" w:cs="仿宋"/>
          <w:b/>
        </w:rPr>
      </w:pPr>
      <w:r>
        <w:rPr>
          <w:rFonts w:hint="eastAsia" w:ascii="仿宋" w:hAnsi="仿宋" w:eastAsia="仿宋" w:cs="仿宋"/>
          <w:b/>
          <w:color w:val="000000"/>
        </w:rPr>
        <w:t>磋商响应函</w:t>
      </w:r>
    </w:p>
    <w:p w14:paraId="7CD04EA1">
      <w:pPr>
        <w:pStyle w:val="240"/>
        <w:spacing w:line="360" w:lineRule="auto"/>
        <w:ind w:left="0" w:leftChars="0" w:firstLine="0" w:firstLineChars="0"/>
        <w:rPr>
          <w:rFonts w:hint="eastAsia" w:ascii="仿宋" w:hAnsi="仿宋" w:eastAsia="仿宋" w:cs="仿宋"/>
          <w:sz w:val="21"/>
          <w:szCs w:val="21"/>
        </w:rPr>
      </w:pPr>
      <w:r>
        <w:rPr>
          <w:rFonts w:hint="eastAsia" w:ascii="仿宋" w:hAnsi="仿宋" w:eastAsia="仿宋" w:cs="仿宋"/>
          <w:sz w:val="21"/>
          <w:szCs w:val="21"/>
        </w:rPr>
        <w:t>致：（代理公司）</w:t>
      </w:r>
    </w:p>
    <w:p w14:paraId="6DFC7C4E">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根据贵方的号磋商文件，正式授权下述签字人_________(姓名和职务)代表我方______________（供应商的名称），全权处理本次项目磋商采购的有关事宜。</w:t>
      </w:r>
    </w:p>
    <w:p w14:paraId="042E8C52">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据此函，__________（签字人）兹宣布同意如下：</w:t>
      </w:r>
    </w:p>
    <w:p w14:paraId="03A5CE78">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1.按磋商文件规定的各项要求，向买方提供所需服务。</w:t>
      </w:r>
    </w:p>
    <w:p w14:paraId="66F2A411">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2.我们已详细审核全部磋商文件及其有效补充文件，我们知道必须放弃提出含糊不清或误解问题的权利。</w:t>
      </w:r>
    </w:p>
    <w:p w14:paraId="0C1ECFFC">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3.我们同意从规定的</w:t>
      </w:r>
      <w:r>
        <w:rPr>
          <w:rFonts w:hint="eastAsia" w:ascii="仿宋" w:hAnsi="仿宋" w:eastAsia="仿宋" w:cs="仿宋"/>
          <w:color w:val="000000"/>
          <w:sz w:val="21"/>
          <w:szCs w:val="21"/>
        </w:rPr>
        <w:t>响应文件接收截止时间</w:t>
      </w:r>
      <w:r>
        <w:rPr>
          <w:rFonts w:hint="eastAsia" w:ascii="仿宋" w:hAnsi="仿宋" w:eastAsia="仿宋" w:cs="仿宋"/>
          <w:sz w:val="21"/>
          <w:szCs w:val="21"/>
        </w:rPr>
        <w:t>起遵循本响应文件，并在规定的磋商有效期期满之前均具有约束力。</w:t>
      </w:r>
    </w:p>
    <w:p w14:paraId="62C180A1">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4.同意向贵方提供贵方可能另外要求的与磋商采购有关的任何证据或资料，并保证我方已提供和将要提供的文件是真实的、准确的。</w:t>
      </w:r>
    </w:p>
    <w:p w14:paraId="3D897A03">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5.一旦我方成交，我方将根据磋商文件的规定，严格履行合同的责任和义务，并保证在磋商文件规定的时间完成项目，交付买方验收、使用。</w:t>
      </w:r>
    </w:p>
    <w:p w14:paraId="1BECF895">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6.遵守磋商文件中要求的收费项目和标准。</w:t>
      </w:r>
    </w:p>
    <w:p w14:paraId="3B1BF2C1">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7.与本磋商采购有关的正式通讯地址为：</w:t>
      </w:r>
    </w:p>
    <w:p w14:paraId="73486A10">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地址：邮编：</w:t>
      </w:r>
    </w:p>
    <w:p w14:paraId="33F91954">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电话：传真：</w:t>
      </w:r>
    </w:p>
    <w:p w14:paraId="63D46913">
      <w:pPr>
        <w:pStyle w:val="240"/>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rPr>
        <w:t>供应商开户行：账户：</w:t>
      </w:r>
    </w:p>
    <w:p w14:paraId="4C9C730A">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法定代表人姓名（签章）：联系电话：</w:t>
      </w:r>
    </w:p>
    <w:p w14:paraId="5ECD82A2">
      <w:pPr>
        <w:pStyle w:val="240"/>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rPr>
        <w:t>供应商名称（公章）：</w:t>
      </w:r>
    </w:p>
    <w:p w14:paraId="724488F2">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日期：________年____月____日</w:t>
      </w:r>
    </w:p>
    <w:p w14:paraId="0859F14C">
      <w:pPr>
        <w:pStyle w:val="240"/>
        <w:spacing w:after="312" w:line="360" w:lineRule="auto"/>
        <w:ind w:firstLine="422"/>
        <w:jc w:val="center"/>
        <w:rPr>
          <w:rFonts w:hint="eastAsia" w:ascii="仿宋" w:hAnsi="仿宋" w:eastAsia="仿宋" w:cs="仿宋"/>
          <w:b/>
          <w:sz w:val="21"/>
          <w:szCs w:val="21"/>
        </w:rPr>
      </w:pPr>
      <w:r>
        <w:rPr>
          <w:rFonts w:hint="eastAsia" w:ascii="仿宋" w:hAnsi="仿宋" w:eastAsia="仿宋" w:cs="仿宋"/>
          <w:b/>
          <w:sz w:val="21"/>
          <w:szCs w:val="21"/>
        </w:rPr>
        <w:br w:type="page" w:clear="all"/>
      </w:r>
      <w:r>
        <w:rPr>
          <w:rFonts w:hint="eastAsia" w:ascii="仿宋" w:hAnsi="仿宋" w:eastAsia="仿宋" w:cs="仿宋"/>
          <w:b/>
          <w:sz w:val="21"/>
          <w:szCs w:val="21"/>
        </w:rPr>
        <w:t>法人授权书</w:t>
      </w:r>
    </w:p>
    <w:p w14:paraId="7D5B0EB5">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本授权书声明：________________（供应商名称）授权________________（被授权人的姓名）为我方就</w:t>
      </w:r>
      <w:r>
        <w:rPr>
          <w:rFonts w:hint="eastAsia" w:ascii="仿宋" w:hAnsi="仿宋" w:eastAsia="仿宋" w:cs="仿宋"/>
          <w:color w:val="000000"/>
          <w:sz w:val="21"/>
          <w:szCs w:val="21"/>
        </w:rPr>
        <w:t>（项目编号）</w:t>
      </w:r>
      <w:r>
        <w:rPr>
          <w:rFonts w:hint="eastAsia" w:ascii="仿宋" w:hAnsi="仿宋" w:eastAsia="仿宋" w:cs="仿宋"/>
          <w:sz w:val="21"/>
          <w:szCs w:val="21"/>
        </w:rPr>
        <w:t>号（项目名称）项目采购活动的合法代理人，以本公司名义全权处理一切与该项目采购有关的事务。</w:t>
      </w:r>
    </w:p>
    <w:p w14:paraId="09182E75">
      <w:pPr>
        <w:pStyle w:val="240"/>
        <w:spacing w:line="360" w:lineRule="auto"/>
        <w:ind w:firstLine="420"/>
        <w:rPr>
          <w:rFonts w:hint="eastAsia" w:ascii="仿宋" w:hAnsi="仿宋" w:eastAsia="仿宋" w:cs="仿宋"/>
          <w:sz w:val="21"/>
          <w:szCs w:val="21"/>
        </w:rPr>
      </w:pPr>
      <w:r>
        <w:rPr>
          <w:rFonts w:hint="eastAsia" w:ascii="仿宋" w:hAnsi="仿宋" w:eastAsia="仿宋" w:cs="仿宋"/>
          <w:sz w:val="21"/>
          <w:szCs w:val="21"/>
        </w:rPr>
        <w:t>本授权书于______年____月____日起生效，特此声明。</w:t>
      </w:r>
    </w:p>
    <w:p w14:paraId="7BC78915">
      <w:pPr>
        <w:pStyle w:val="240"/>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rPr>
        <w:t>被授权人姓名：_______________________</w:t>
      </w:r>
    </w:p>
    <w:p w14:paraId="3A500A67">
      <w:pPr>
        <w:pStyle w:val="240"/>
        <w:spacing w:line="360" w:lineRule="auto"/>
        <w:ind w:firstLine="420"/>
        <w:rPr>
          <w:rFonts w:hint="eastAsia" w:ascii="仿宋" w:hAnsi="仿宋" w:eastAsia="仿宋" w:cs="仿宋"/>
          <w:sz w:val="21"/>
          <w:szCs w:val="21"/>
          <w:u w:val="single"/>
          <w:lang w:eastAsia="zh-CN"/>
        </w:rPr>
      </w:pPr>
      <w:r>
        <w:rPr>
          <w:rFonts w:hint="eastAsia" w:ascii="仿宋" w:hAnsi="仿宋" w:eastAsia="仿宋" w:cs="仿宋"/>
          <w:sz w:val="21"/>
          <w:szCs w:val="21"/>
        </w:rPr>
        <w:t>联系电话（手机）：</w:t>
      </w:r>
    </w:p>
    <w:p w14:paraId="021E25B5">
      <w:pPr>
        <w:pStyle w:val="240"/>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单位名称：____________________________________</w:t>
      </w:r>
    </w:p>
    <w:p w14:paraId="4A8BBEAB">
      <w:pPr>
        <w:pStyle w:val="240"/>
        <w:spacing w:line="360" w:lineRule="auto"/>
        <w:ind w:firstLine="420"/>
        <w:rPr>
          <w:rFonts w:hint="eastAsia" w:ascii="仿宋" w:hAnsi="仿宋" w:eastAsia="仿宋" w:cs="仿宋"/>
          <w:sz w:val="21"/>
          <w:szCs w:val="21"/>
          <w:u w:val="single"/>
          <w:lang w:eastAsia="zh-CN"/>
        </w:rPr>
      </w:pPr>
      <w:r>
        <w:rPr>
          <w:rFonts w:hint="eastAsia" w:ascii="仿宋" w:hAnsi="仿宋" w:eastAsia="仿宋" w:cs="仿宋"/>
          <w:sz w:val="21"/>
          <w:szCs w:val="21"/>
        </w:rPr>
        <w:t>单位地址：</w:t>
      </w:r>
    </w:p>
    <w:p w14:paraId="3747198E">
      <w:pPr>
        <w:pStyle w:val="240"/>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rPr>
        <w:t>日期：</w:t>
      </w:r>
    </w:p>
    <w:p w14:paraId="763841F3">
      <w:pPr>
        <w:spacing w:line="360" w:lineRule="auto"/>
        <w:rPr>
          <w:rFonts w:hint="eastAsia" w:ascii="仿宋" w:hAnsi="仿宋" w:eastAsia="仿宋" w:cs="仿宋"/>
          <w:bCs/>
        </w:rPr>
      </w:pPr>
    </w:p>
    <w:p w14:paraId="4AD20897">
      <w:pPr>
        <w:spacing w:line="360" w:lineRule="auto"/>
        <w:ind w:firstLine="420"/>
        <w:rPr>
          <w:rFonts w:hint="eastAsia" w:ascii="仿宋" w:hAnsi="仿宋" w:eastAsia="仿宋" w:cs="仿宋"/>
          <w:bCs/>
        </w:rPr>
        <w:sectPr>
          <w:pgSz w:w="11906" w:h="16838"/>
          <w:pgMar w:top="1134" w:right="1134" w:bottom="1134" w:left="1134" w:header="851" w:footer="992" w:gutter="0"/>
          <w:pgNumType w:fmt="decimal"/>
          <w:cols w:space="1701" w:num="1"/>
          <w:docGrid w:linePitch="360" w:charSpace="0"/>
        </w:sectPr>
      </w:pPr>
      <w:r>
        <w:rPr>
          <w:rFonts w:hint="eastAsia" w:ascii="仿宋" w:hAnsi="仿宋" w:eastAsia="仿宋" w:cs="仿宋"/>
          <w:bCs/>
        </w:rPr>
        <w:t>被授权人身份证复印件</w:t>
      </w:r>
    </w:p>
    <w:p w14:paraId="3930EB48">
      <w:pPr>
        <w:numPr>
          <w:ilvl w:val="0"/>
          <w:numId w:val="6"/>
        </w:num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符合性审查响应对照表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100"/>
        <w:gridCol w:w="2027"/>
        <w:gridCol w:w="1308"/>
      </w:tblGrid>
      <w:tr w14:paraId="4015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6" w:type="dxa"/>
            <w:noWrap w:val="0"/>
            <w:vAlign w:val="center"/>
          </w:tcPr>
          <w:p w14:paraId="45D908AD">
            <w:pPr>
              <w:spacing w:line="360" w:lineRule="auto"/>
              <w:jc w:val="center"/>
              <w:rPr>
                <w:rFonts w:hint="eastAsia" w:ascii="仿宋" w:hAnsi="仿宋" w:eastAsia="仿宋" w:cs="仿宋"/>
                <w:b/>
                <w:szCs w:val="21"/>
              </w:rPr>
            </w:pPr>
            <w:r>
              <w:rPr>
                <w:rFonts w:hint="eastAsia" w:ascii="仿宋" w:hAnsi="仿宋" w:eastAsia="仿宋" w:cs="仿宋"/>
                <w:b/>
                <w:szCs w:val="21"/>
              </w:rPr>
              <w:t>序号</w:t>
            </w:r>
          </w:p>
        </w:tc>
        <w:tc>
          <w:tcPr>
            <w:tcW w:w="5100" w:type="dxa"/>
            <w:noWrap w:val="0"/>
            <w:vAlign w:val="center"/>
          </w:tcPr>
          <w:p w14:paraId="6922D2DC">
            <w:pPr>
              <w:spacing w:line="360" w:lineRule="auto"/>
              <w:jc w:val="center"/>
              <w:rPr>
                <w:rFonts w:hint="eastAsia" w:ascii="仿宋" w:hAnsi="仿宋" w:eastAsia="仿宋" w:cs="仿宋"/>
                <w:b/>
                <w:szCs w:val="21"/>
              </w:rPr>
            </w:pPr>
            <w:r>
              <w:rPr>
                <w:rFonts w:hint="eastAsia" w:ascii="仿宋" w:hAnsi="仿宋" w:eastAsia="仿宋" w:cs="仿宋"/>
                <w:b/>
                <w:szCs w:val="21"/>
              </w:rPr>
              <w:t>符合性审查响应内容</w:t>
            </w:r>
          </w:p>
        </w:tc>
        <w:tc>
          <w:tcPr>
            <w:tcW w:w="2027" w:type="dxa"/>
            <w:noWrap w:val="0"/>
            <w:vAlign w:val="center"/>
          </w:tcPr>
          <w:p w14:paraId="46169BE9">
            <w:pPr>
              <w:spacing w:line="360" w:lineRule="auto"/>
              <w:jc w:val="center"/>
              <w:rPr>
                <w:rFonts w:hint="eastAsia" w:ascii="仿宋" w:hAnsi="仿宋" w:eastAsia="仿宋" w:cs="仿宋"/>
                <w:b/>
                <w:szCs w:val="21"/>
              </w:rPr>
            </w:pPr>
            <w:r>
              <w:rPr>
                <w:rFonts w:hint="eastAsia" w:ascii="仿宋" w:hAnsi="仿宋" w:eastAsia="仿宋" w:cs="仿宋"/>
                <w:b/>
                <w:szCs w:val="21"/>
              </w:rPr>
              <w:t>是否响应</w:t>
            </w:r>
          </w:p>
          <w:p w14:paraId="6E444077">
            <w:pPr>
              <w:spacing w:line="360" w:lineRule="auto"/>
              <w:jc w:val="center"/>
              <w:rPr>
                <w:rFonts w:hint="eastAsia" w:ascii="仿宋" w:hAnsi="仿宋" w:eastAsia="仿宋" w:cs="仿宋"/>
                <w:b/>
                <w:szCs w:val="21"/>
              </w:rPr>
            </w:pPr>
            <w:r>
              <w:rPr>
                <w:rFonts w:hint="eastAsia" w:ascii="仿宋" w:hAnsi="仿宋" w:eastAsia="仿宋" w:cs="仿宋"/>
                <w:b/>
                <w:szCs w:val="21"/>
              </w:rPr>
              <w:t>（填是或者否）</w:t>
            </w:r>
          </w:p>
        </w:tc>
        <w:tc>
          <w:tcPr>
            <w:tcW w:w="1308" w:type="dxa"/>
            <w:noWrap w:val="0"/>
            <w:vAlign w:val="center"/>
          </w:tcPr>
          <w:p w14:paraId="529B15F0">
            <w:pPr>
              <w:spacing w:line="360" w:lineRule="auto"/>
              <w:jc w:val="center"/>
              <w:rPr>
                <w:rFonts w:hint="eastAsia" w:ascii="仿宋" w:hAnsi="仿宋" w:eastAsia="仿宋" w:cs="仿宋"/>
                <w:b/>
                <w:szCs w:val="21"/>
              </w:rPr>
            </w:pPr>
            <w:r>
              <w:rPr>
                <w:rFonts w:hint="eastAsia" w:ascii="仿宋" w:hAnsi="仿宋" w:eastAsia="仿宋" w:cs="仿宋"/>
                <w:b/>
                <w:szCs w:val="21"/>
              </w:rPr>
              <w:t>响应情况</w:t>
            </w:r>
          </w:p>
        </w:tc>
      </w:tr>
      <w:tr w14:paraId="48E8C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jc w:val="center"/>
        </w:trPr>
        <w:tc>
          <w:tcPr>
            <w:tcW w:w="646" w:type="dxa"/>
            <w:noWrap w:val="0"/>
            <w:vAlign w:val="center"/>
          </w:tcPr>
          <w:p w14:paraId="41F426F6">
            <w:pPr>
              <w:spacing w:line="360" w:lineRule="auto"/>
              <w:jc w:val="center"/>
              <w:rPr>
                <w:rFonts w:hint="eastAsia" w:ascii="仿宋" w:hAnsi="仿宋" w:eastAsia="仿宋" w:cs="仿宋"/>
                <w:b/>
                <w:szCs w:val="21"/>
              </w:rPr>
            </w:pPr>
            <w:r>
              <w:rPr>
                <w:rFonts w:hint="eastAsia" w:ascii="仿宋" w:hAnsi="仿宋" w:eastAsia="仿宋" w:cs="仿宋"/>
                <w:b/>
                <w:szCs w:val="21"/>
              </w:rPr>
              <w:t>1</w:t>
            </w:r>
          </w:p>
        </w:tc>
        <w:tc>
          <w:tcPr>
            <w:tcW w:w="5100" w:type="dxa"/>
            <w:noWrap w:val="0"/>
            <w:vAlign w:val="center"/>
          </w:tcPr>
          <w:p w14:paraId="1C11E82E">
            <w:pPr>
              <w:spacing w:line="360" w:lineRule="auto"/>
              <w:jc w:val="both"/>
              <w:rPr>
                <w:rFonts w:hint="eastAsia" w:ascii="仿宋" w:hAnsi="仿宋" w:eastAsia="仿宋" w:cs="仿宋"/>
                <w:iCs/>
                <w:szCs w:val="21"/>
              </w:rPr>
            </w:pPr>
            <w:r>
              <w:rPr>
                <w:rFonts w:hint="eastAsia" w:ascii="仿宋" w:hAnsi="仿宋" w:eastAsia="仿宋" w:cs="仿宋"/>
                <w:iCs/>
                <w:szCs w:val="21"/>
              </w:rPr>
              <w:t>采购需求中必须满足的实质性要求（即加斜体下划线内容，每条详细列出）</w:t>
            </w:r>
          </w:p>
        </w:tc>
        <w:tc>
          <w:tcPr>
            <w:tcW w:w="2027" w:type="dxa"/>
            <w:noWrap w:val="0"/>
            <w:vAlign w:val="center"/>
          </w:tcPr>
          <w:p w14:paraId="7033CE19">
            <w:pPr>
              <w:spacing w:line="360" w:lineRule="auto"/>
              <w:rPr>
                <w:rFonts w:hint="eastAsia" w:ascii="仿宋" w:hAnsi="仿宋" w:eastAsia="仿宋" w:cs="仿宋"/>
                <w:b/>
                <w:szCs w:val="21"/>
              </w:rPr>
            </w:pPr>
          </w:p>
        </w:tc>
        <w:tc>
          <w:tcPr>
            <w:tcW w:w="1308" w:type="dxa"/>
            <w:noWrap w:val="0"/>
            <w:vAlign w:val="center"/>
          </w:tcPr>
          <w:p w14:paraId="38CF1371">
            <w:pPr>
              <w:spacing w:line="360" w:lineRule="auto"/>
              <w:rPr>
                <w:rFonts w:hint="eastAsia" w:ascii="仿宋" w:hAnsi="仿宋" w:eastAsia="仿宋" w:cs="仿宋"/>
                <w:b/>
                <w:szCs w:val="21"/>
              </w:rPr>
            </w:pPr>
          </w:p>
        </w:tc>
      </w:tr>
      <w:tr w14:paraId="12AD5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082B82F3">
            <w:pPr>
              <w:spacing w:line="360" w:lineRule="auto"/>
              <w:jc w:val="center"/>
              <w:rPr>
                <w:rFonts w:hint="eastAsia" w:ascii="仿宋" w:hAnsi="仿宋" w:eastAsia="仿宋" w:cs="仿宋"/>
                <w:szCs w:val="21"/>
              </w:rPr>
            </w:pPr>
            <w:r>
              <w:rPr>
                <w:rFonts w:hint="eastAsia" w:ascii="仿宋" w:hAnsi="仿宋" w:eastAsia="仿宋" w:cs="仿宋"/>
                <w:szCs w:val="21"/>
              </w:rPr>
              <w:t>2</w:t>
            </w:r>
          </w:p>
        </w:tc>
        <w:tc>
          <w:tcPr>
            <w:tcW w:w="5100" w:type="dxa"/>
            <w:noWrap w:val="0"/>
            <w:vAlign w:val="center"/>
          </w:tcPr>
          <w:p w14:paraId="469DD73D">
            <w:pPr>
              <w:spacing w:line="360" w:lineRule="auto"/>
              <w:rPr>
                <w:rFonts w:hint="eastAsia" w:ascii="仿宋" w:hAnsi="仿宋" w:eastAsia="仿宋" w:cs="仿宋"/>
                <w:iCs/>
                <w:szCs w:val="21"/>
                <w:lang w:val="en-US" w:eastAsia="zh-CN"/>
              </w:rPr>
            </w:pPr>
            <w:r>
              <w:rPr>
                <w:rFonts w:hint="eastAsia" w:ascii="仿宋" w:hAnsi="仿宋" w:eastAsia="仿宋" w:cs="仿宋"/>
                <w:iCs/>
                <w:szCs w:val="21"/>
                <w:lang w:val="en-US" w:eastAsia="zh-CN"/>
              </w:rPr>
              <w:t>报价不得超过限价</w:t>
            </w:r>
          </w:p>
        </w:tc>
        <w:tc>
          <w:tcPr>
            <w:tcW w:w="2027" w:type="dxa"/>
            <w:noWrap w:val="0"/>
            <w:vAlign w:val="center"/>
          </w:tcPr>
          <w:p w14:paraId="05958DB0">
            <w:pPr>
              <w:spacing w:line="360" w:lineRule="auto"/>
              <w:rPr>
                <w:rFonts w:hint="eastAsia" w:ascii="仿宋" w:hAnsi="仿宋" w:eastAsia="仿宋" w:cs="仿宋"/>
                <w:szCs w:val="21"/>
              </w:rPr>
            </w:pPr>
          </w:p>
        </w:tc>
        <w:tc>
          <w:tcPr>
            <w:tcW w:w="1308" w:type="dxa"/>
            <w:noWrap w:val="0"/>
            <w:vAlign w:val="center"/>
          </w:tcPr>
          <w:p w14:paraId="6303E42B">
            <w:pPr>
              <w:spacing w:line="360" w:lineRule="auto"/>
              <w:rPr>
                <w:rFonts w:hint="eastAsia" w:ascii="仿宋" w:hAnsi="仿宋" w:eastAsia="仿宋" w:cs="仿宋"/>
                <w:szCs w:val="21"/>
              </w:rPr>
            </w:pPr>
          </w:p>
        </w:tc>
      </w:tr>
      <w:tr w14:paraId="234AD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74845ECD">
            <w:pPr>
              <w:spacing w:line="360" w:lineRule="auto"/>
              <w:jc w:val="center"/>
              <w:rPr>
                <w:rFonts w:hint="eastAsia" w:ascii="仿宋" w:hAnsi="仿宋" w:eastAsia="仿宋" w:cs="仿宋"/>
                <w:szCs w:val="21"/>
              </w:rPr>
            </w:pPr>
            <w:r>
              <w:rPr>
                <w:rFonts w:hint="eastAsia" w:ascii="仿宋" w:hAnsi="仿宋" w:eastAsia="仿宋" w:cs="仿宋"/>
                <w:szCs w:val="21"/>
              </w:rPr>
              <w:t>3</w:t>
            </w:r>
          </w:p>
        </w:tc>
        <w:tc>
          <w:tcPr>
            <w:tcW w:w="5100" w:type="dxa"/>
            <w:noWrap w:val="0"/>
            <w:vAlign w:val="center"/>
          </w:tcPr>
          <w:p w14:paraId="2BAA650B">
            <w:pPr>
              <w:spacing w:line="360" w:lineRule="auto"/>
              <w:rPr>
                <w:rFonts w:hint="eastAsia" w:ascii="仿宋" w:hAnsi="仿宋" w:eastAsia="仿宋" w:cs="仿宋"/>
                <w:iCs/>
                <w:szCs w:val="21"/>
              </w:rPr>
            </w:pPr>
          </w:p>
        </w:tc>
        <w:tc>
          <w:tcPr>
            <w:tcW w:w="2027" w:type="dxa"/>
            <w:noWrap w:val="0"/>
            <w:vAlign w:val="center"/>
          </w:tcPr>
          <w:p w14:paraId="4366F83A">
            <w:pPr>
              <w:spacing w:line="360" w:lineRule="auto"/>
              <w:rPr>
                <w:rFonts w:hint="eastAsia" w:ascii="仿宋" w:hAnsi="仿宋" w:eastAsia="仿宋" w:cs="仿宋"/>
                <w:szCs w:val="21"/>
              </w:rPr>
            </w:pPr>
          </w:p>
        </w:tc>
        <w:tc>
          <w:tcPr>
            <w:tcW w:w="1308" w:type="dxa"/>
            <w:noWrap w:val="0"/>
            <w:vAlign w:val="center"/>
          </w:tcPr>
          <w:p w14:paraId="773DB723">
            <w:pPr>
              <w:spacing w:line="360" w:lineRule="auto"/>
              <w:rPr>
                <w:rFonts w:hint="eastAsia" w:ascii="仿宋" w:hAnsi="仿宋" w:eastAsia="仿宋" w:cs="仿宋"/>
                <w:szCs w:val="21"/>
              </w:rPr>
            </w:pPr>
          </w:p>
        </w:tc>
      </w:tr>
      <w:tr w14:paraId="662F8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jc w:val="center"/>
        </w:trPr>
        <w:tc>
          <w:tcPr>
            <w:tcW w:w="646" w:type="dxa"/>
            <w:noWrap w:val="0"/>
            <w:vAlign w:val="center"/>
          </w:tcPr>
          <w:p w14:paraId="22D03924">
            <w:pPr>
              <w:spacing w:line="360" w:lineRule="auto"/>
              <w:jc w:val="center"/>
              <w:rPr>
                <w:rFonts w:hint="eastAsia" w:ascii="仿宋" w:hAnsi="仿宋" w:eastAsia="仿宋" w:cs="仿宋"/>
                <w:szCs w:val="21"/>
              </w:rPr>
            </w:pPr>
            <w:r>
              <w:rPr>
                <w:rFonts w:hint="eastAsia" w:ascii="仿宋" w:hAnsi="仿宋" w:eastAsia="仿宋" w:cs="仿宋"/>
                <w:szCs w:val="21"/>
              </w:rPr>
              <w:t>4</w:t>
            </w:r>
          </w:p>
        </w:tc>
        <w:tc>
          <w:tcPr>
            <w:tcW w:w="5100" w:type="dxa"/>
            <w:noWrap w:val="0"/>
            <w:vAlign w:val="center"/>
          </w:tcPr>
          <w:p w14:paraId="7E3BD0BE">
            <w:pPr>
              <w:spacing w:line="360" w:lineRule="auto"/>
              <w:rPr>
                <w:rFonts w:hint="eastAsia" w:ascii="仿宋" w:hAnsi="仿宋" w:eastAsia="仿宋" w:cs="仿宋"/>
                <w:iCs/>
                <w:szCs w:val="21"/>
              </w:rPr>
            </w:pPr>
          </w:p>
        </w:tc>
        <w:tc>
          <w:tcPr>
            <w:tcW w:w="2027" w:type="dxa"/>
            <w:noWrap w:val="0"/>
            <w:vAlign w:val="center"/>
          </w:tcPr>
          <w:p w14:paraId="3B2EC0B9">
            <w:pPr>
              <w:spacing w:line="360" w:lineRule="auto"/>
              <w:rPr>
                <w:rFonts w:hint="eastAsia" w:ascii="仿宋" w:hAnsi="仿宋" w:eastAsia="仿宋" w:cs="仿宋"/>
                <w:szCs w:val="21"/>
              </w:rPr>
            </w:pPr>
          </w:p>
        </w:tc>
        <w:tc>
          <w:tcPr>
            <w:tcW w:w="1308" w:type="dxa"/>
            <w:noWrap w:val="0"/>
            <w:vAlign w:val="center"/>
          </w:tcPr>
          <w:p w14:paraId="0FA590C1">
            <w:pPr>
              <w:spacing w:line="360" w:lineRule="auto"/>
              <w:rPr>
                <w:rFonts w:hint="eastAsia" w:ascii="仿宋" w:hAnsi="仿宋" w:eastAsia="仿宋" w:cs="仿宋"/>
                <w:szCs w:val="21"/>
              </w:rPr>
            </w:pPr>
          </w:p>
        </w:tc>
      </w:tr>
      <w:tr w14:paraId="0775D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0ABE004D">
            <w:pPr>
              <w:spacing w:line="360" w:lineRule="auto"/>
              <w:jc w:val="center"/>
              <w:rPr>
                <w:rFonts w:hint="eastAsia" w:ascii="仿宋" w:hAnsi="仿宋" w:eastAsia="仿宋" w:cs="仿宋"/>
                <w:szCs w:val="21"/>
              </w:rPr>
            </w:pPr>
            <w:r>
              <w:rPr>
                <w:rFonts w:hint="eastAsia" w:ascii="仿宋" w:hAnsi="仿宋" w:eastAsia="仿宋" w:cs="仿宋"/>
                <w:szCs w:val="21"/>
              </w:rPr>
              <w:t>5</w:t>
            </w:r>
          </w:p>
        </w:tc>
        <w:tc>
          <w:tcPr>
            <w:tcW w:w="5100" w:type="dxa"/>
            <w:noWrap w:val="0"/>
            <w:vAlign w:val="center"/>
          </w:tcPr>
          <w:p w14:paraId="460F280C">
            <w:pPr>
              <w:spacing w:line="360" w:lineRule="auto"/>
              <w:rPr>
                <w:rFonts w:hint="eastAsia" w:ascii="仿宋" w:hAnsi="仿宋" w:eastAsia="仿宋" w:cs="仿宋"/>
                <w:iCs/>
                <w:szCs w:val="21"/>
              </w:rPr>
            </w:pPr>
            <w:r>
              <w:rPr>
                <w:rFonts w:hint="eastAsia" w:ascii="仿宋" w:hAnsi="仿宋" w:eastAsia="仿宋" w:cs="仿宋"/>
                <w:iCs/>
                <w:szCs w:val="21"/>
              </w:rPr>
              <w:t>……</w:t>
            </w:r>
          </w:p>
        </w:tc>
        <w:tc>
          <w:tcPr>
            <w:tcW w:w="2027" w:type="dxa"/>
            <w:noWrap w:val="0"/>
            <w:vAlign w:val="center"/>
          </w:tcPr>
          <w:p w14:paraId="57FB32AA">
            <w:pPr>
              <w:spacing w:line="360" w:lineRule="auto"/>
              <w:rPr>
                <w:rFonts w:hint="eastAsia" w:ascii="仿宋" w:hAnsi="仿宋" w:eastAsia="仿宋" w:cs="仿宋"/>
                <w:szCs w:val="21"/>
              </w:rPr>
            </w:pPr>
          </w:p>
        </w:tc>
        <w:tc>
          <w:tcPr>
            <w:tcW w:w="1308" w:type="dxa"/>
            <w:noWrap w:val="0"/>
            <w:vAlign w:val="center"/>
          </w:tcPr>
          <w:p w14:paraId="5324C72D">
            <w:pPr>
              <w:spacing w:line="360" w:lineRule="auto"/>
              <w:rPr>
                <w:rFonts w:hint="eastAsia" w:ascii="仿宋" w:hAnsi="仿宋" w:eastAsia="仿宋" w:cs="仿宋"/>
                <w:szCs w:val="21"/>
              </w:rPr>
            </w:pPr>
          </w:p>
        </w:tc>
      </w:tr>
    </w:tbl>
    <w:p w14:paraId="380758D2">
      <w:pPr>
        <w:spacing w:line="360" w:lineRule="auto"/>
        <w:contextualSpacing/>
        <w:jc w:val="both"/>
        <w:rPr>
          <w:rFonts w:hint="eastAsia" w:ascii="仿宋" w:hAnsi="仿宋" w:eastAsia="仿宋" w:cs="仿宋"/>
          <w:b/>
          <w:bCs/>
          <w:color w:val="000000"/>
          <w:sz w:val="32"/>
          <w:szCs w:val="32"/>
        </w:rPr>
      </w:pPr>
      <w:r>
        <w:rPr>
          <w:rFonts w:hint="eastAsia" w:ascii="仿宋" w:hAnsi="仿宋" w:eastAsia="仿宋" w:cs="仿宋"/>
          <w:b/>
          <w:bCs/>
          <w:color w:val="000000"/>
          <w:sz w:val="32"/>
          <w:szCs w:val="32"/>
        </w:rPr>
        <w:br w:type="page" w:clear="all"/>
      </w:r>
    </w:p>
    <w:p w14:paraId="326A2B9D">
      <w:pPr>
        <w:numPr>
          <w:ilvl w:val="0"/>
          <w:numId w:val="6"/>
        </w:num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非实质性响应对照表</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992"/>
        <w:gridCol w:w="2135"/>
        <w:gridCol w:w="1308"/>
      </w:tblGrid>
      <w:tr w14:paraId="36E77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jc w:val="center"/>
        </w:trPr>
        <w:tc>
          <w:tcPr>
            <w:tcW w:w="646" w:type="dxa"/>
            <w:noWrap w:val="0"/>
            <w:vAlign w:val="center"/>
          </w:tcPr>
          <w:p w14:paraId="32369AAF">
            <w:pPr>
              <w:spacing w:line="360" w:lineRule="auto"/>
              <w:jc w:val="center"/>
              <w:rPr>
                <w:rFonts w:hint="eastAsia" w:ascii="仿宋" w:hAnsi="仿宋" w:eastAsia="仿宋" w:cs="仿宋"/>
                <w:b/>
                <w:szCs w:val="21"/>
              </w:rPr>
            </w:pPr>
            <w:r>
              <w:rPr>
                <w:rFonts w:hint="eastAsia" w:ascii="仿宋" w:hAnsi="仿宋" w:eastAsia="仿宋" w:cs="仿宋"/>
                <w:b/>
                <w:szCs w:val="21"/>
              </w:rPr>
              <w:t>序号</w:t>
            </w:r>
          </w:p>
        </w:tc>
        <w:tc>
          <w:tcPr>
            <w:tcW w:w="4992" w:type="dxa"/>
            <w:noWrap w:val="0"/>
            <w:vAlign w:val="center"/>
          </w:tcPr>
          <w:p w14:paraId="6573F94F">
            <w:pPr>
              <w:spacing w:line="360" w:lineRule="auto"/>
              <w:jc w:val="center"/>
              <w:rPr>
                <w:rFonts w:hint="eastAsia" w:ascii="仿宋" w:hAnsi="仿宋" w:eastAsia="仿宋" w:cs="仿宋"/>
                <w:b/>
                <w:szCs w:val="21"/>
              </w:rPr>
            </w:pPr>
            <w:r>
              <w:rPr>
                <w:rFonts w:hint="eastAsia" w:ascii="仿宋" w:hAnsi="仿宋" w:eastAsia="仿宋" w:cs="仿宋"/>
                <w:b/>
                <w:szCs w:val="21"/>
              </w:rPr>
              <w:t>非实质性响应内容</w:t>
            </w:r>
          </w:p>
        </w:tc>
        <w:tc>
          <w:tcPr>
            <w:tcW w:w="2135" w:type="dxa"/>
            <w:noWrap w:val="0"/>
            <w:vAlign w:val="center"/>
          </w:tcPr>
          <w:p w14:paraId="42A727F7">
            <w:pPr>
              <w:spacing w:line="360" w:lineRule="auto"/>
              <w:jc w:val="center"/>
              <w:rPr>
                <w:rFonts w:hint="eastAsia" w:ascii="仿宋" w:hAnsi="仿宋" w:eastAsia="仿宋" w:cs="仿宋"/>
                <w:b/>
                <w:szCs w:val="21"/>
              </w:rPr>
            </w:pPr>
            <w:r>
              <w:rPr>
                <w:rFonts w:hint="eastAsia" w:ascii="仿宋" w:hAnsi="仿宋" w:eastAsia="仿宋" w:cs="仿宋"/>
                <w:b/>
                <w:szCs w:val="21"/>
              </w:rPr>
              <w:t>是否响应</w:t>
            </w:r>
          </w:p>
          <w:p w14:paraId="07B5C0DA">
            <w:pPr>
              <w:spacing w:line="360" w:lineRule="auto"/>
              <w:jc w:val="center"/>
              <w:rPr>
                <w:rFonts w:hint="eastAsia" w:ascii="仿宋" w:hAnsi="仿宋" w:eastAsia="仿宋" w:cs="仿宋"/>
                <w:b/>
                <w:szCs w:val="21"/>
              </w:rPr>
            </w:pPr>
            <w:r>
              <w:rPr>
                <w:rFonts w:hint="eastAsia" w:ascii="仿宋" w:hAnsi="仿宋" w:eastAsia="仿宋" w:cs="仿宋"/>
                <w:b/>
                <w:szCs w:val="21"/>
              </w:rPr>
              <w:t>（填是或者否）</w:t>
            </w:r>
          </w:p>
        </w:tc>
        <w:tc>
          <w:tcPr>
            <w:tcW w:w="1308" w:type="dxa"/>
            <w:noWrap w:val="0"/>
            <w:vAlign w:val="center"/>
          </w:tcPr>
          <w:p w14:paraId="04560D76">
            <w:pPr>
              <w:spacing w:line="360" w:lineRule="auto"/>
              <w:jc w:val="center"/>
              <w:rPr>
                <w:rFonts w:hint="eastAsia" w:ascii="仿宋" w:hAnsi="仿宋" w:eastAsia="仿宋" w:cs="仿宋"/>
                <w:b/>
                <w:szCs w:val="21"/>
              </w:rPr>
            </w:pPr>
            <w:r>
              <w:rPr>
                <w:rFonts w:hint="eastAsia" w:ascii="仿宋" w:hAnsi="仿宋" w:eastAsia="仿宋" w:cs="仿宋"/>
                <w:b/>
                <w:szCs w:val="21"/>
              </w:rPr>
              <w:t>响应情况</w:t>
            </w:r>
          </w:p>
        </w:tc>
      </w:tr>
      <w:tr w14:paraId="1A030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35216F19">
            <w:pPr>
              <w:spacing w:line="360" w:lineRule="auto"/>
              <w:jc w:val="center"/>
              <w:rPr>
                <w:rFonts w:hint="eastAsia" w:ascii="仿宋" w:hAnsi="仿宋" w:eastAsia="仿宋" w:cs="仿宋"/>
                <w:b/>
                <w:szCs w:val="21"/>
              </w:rPr>
            </w:pPr>
            <w:r>
              <w:rPr>
                <w:rFonts w:hint="eastAsia" w:ascii="仿宋" w:hAnsi="仿宋" w:eastAsia="仿宋" w:cs="仿宋"/>
                <w:b/>
                <w:szCs w:val="21"/>
              </w:rPr>
              <w:t>1</w:t>
            </w:r>
          </w:p>
        </w:tc>
        <w:tc>
          <w:tcPr>
            <w:tcW w:w="4992" w:type="dxa"/>
            <w:noWrap w:val="0"/>
            <w:vAlign w:val="center"/>
          </w:tcPr>
          <w:p w14:paraId="2B839B75">
            <w:pPr>
              <w:spacing w:line="360" w:lineRule="auto"/>
              <w:rPr>
                <w:rFonts w:hint="eastAsia" w:ascii="仿宋" w:hAnsi="仿宋" w:eastAsia="仿宋" w:cs="仿宋"/>
                <w:iCs/>
                <w:szCs w:val="21"/>
              </w:rPr>
            </w:pPr>
            <w:r>
              <w:rPr>
                <w:rFonts w:hint="eastAsia" w:ascii="仿宋" w:hAnsi="仿宋" w:eastAsia="仿宋" w:cs="仿宋"/>
                <w:szCs w:val="21"/>
              </w:rPr>
              <w:t>《企业声明函》</w:t>
            </w:r>
          </w:p>
        </w:tc>
        <w:tc>
          <w:tcPr>
            <w:tcW w:w="2135" w:type="dxa"/>
            <w:noWrap w:val="0"/>
            <w:vAlign w:val="center"/>
          </w:tcPr>
          <w:p w14:paraId="46071894">
            <w:pPr>
              <w:spacing w:line="360" w:lineRule="auto"/>
              <w:rPr>
                <w:rFonts w:hint="eastAsia" w:ascii="仿宋" w:hAnsi="仿宋" w:eastAsia="仿宋" w:cs="仿宋"/>
                <w:b/>
                <w:szCs w:val="21"/>
              </w:rPr>
            </w:pPr>
          </w:p>
        </w:tc>
        <w:tc>
          <w:tcPr>
            <w:tcW w:w="1308" w:type="dxa"/>
            <w:noWrap w:val="0"/>
            <w:vAlign w:val="center"/>
          </w:tcPr>
          <w:p w14:paraId="6AB7295E">
            <w:pPr>
              <w:spacing w:line="360" w:lineRule="auto"/>
              <w:rPr>
                <w:rFonts w:hint="eastAsia" w:ascii="仿宋" w:hAnsi="仿宋" w:eastAsia="仿宋" w:cs="仿宋"/>
                <w:b/>
                <w:szCs w:val="21"/>
              </w:rPr>
            </w:pPr>
          </w:p>
        </w:tc>
      </w:tr>
      <w:tr w14:paraId="1D616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264F72A7">
            <w:pPr>
              <w:spacing w:line="360" w:lineRule="auto"/>
              <w:jc w:val="center"/>
              <w:rPr>
                <w:rFonts w:hint="eastAsia" w:ascii="仿宋" w:hAnsi="仿宋" w:eastAsia="仿宋" w:cs="仿宋"/>
                <w:szCs w:val="21"/>
              </w:rPr>
            </w:pPr>
            <w:r>
              <w:rPr>
                <w:rFonts w:hint="eastAsia" w:ascii="仿宋" w:hAnsi="仿宋" w:eastAsia="仿宋" w:cs="仿宋"/>
                <w:szCs w:val="21"/>
              </w:rPr>
              <w:t>2</w:t>
            </w:r>
          </w:p>
        </w:tc>
        <w:tc>
          <w:tcPr>
            <w:tcW w:w="4992" w:type="dxa"/>
            <w:noWrap w:val="0"/>
            <w:vAlign w:val="center"/>
          </w:tcPr>
          <w:p w14:paraId="5DE1F335">
            <w:pPr>
              <w:spacing w:line="360" w:lineRule="auto"/>
              <w:rPr>
                <w:rFonts w:hint="eastAsia" w:ascii="仿宋" w:hAnsi="仿宋" w:eastAsia="仿宋" w:cs="仿宋"/>
                <w:iCs/>
                <w:szCs w:val="21"/>
              </w:rPr>
            </w:pPr>
            <w:r>
              <w:rPr>
                <w:rFonts w:hint="eastAsia" w:ascii="仿宋" w:hAnsi="仿宋" w:eastAsia="仿宋" w:cs="仿宋"/>
                <w:szCs w:val="21"/>
              </w:rPr>
              <w:t>《残疾人福利性单位声明函》</w:t>
            </w:r>
          </w:p>
        </w:tc>
        <w:tc>
          <w:tcPr>
            <w:tcW w:w="2135" w:type="dxa"/>
            <w:noWrap w:val="0"/>
            <w:vAlign w:val="center"/>
          </w:tcPr>
          <w:p w14:paraId="2BC12403">
            <w:pPr>
              <w:spacing w:line="360" w:lineRule="auto"/>
              <w:rPr>
                <w:rFonts w:hint="eastAsia" w:ascii="仿宋" w:hAnsi="仿宋" w:eastAsia="仿宋" w:cs="仿宋"/>
                <w:szCs w:val="21"/>
              </w:rPr>
            </w:pPr>
          </w:p>
        </w:tc>
        <w:tc>
          <w:tcPr>
            <w:tcW w:w="1308" w:type="dxa"/>
            <w:noWrap w:val="0"/>
            <w:vAlign w:val="center"/>
          </w:tcPr>
          <w:p w14:paraId="1D103100">
            <w:pPr>
              <w:spacing w:line="360" w:lineRule="auto"/>
              <w:rPr>
                <w:rFonts w:hint="eastAsia" w:ascii="仿宋" w:hAnsi="仿宋" w:eastAsia="仿宋" w:cs="仿宋"/>
                <w:szCs w:val="21"/>
              </w:rPr>
            </w:pPr>
          </w:p>
        </w:tc>
      </w:tr>
      <w:tr w14:paraId="08F77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1C1BD046">
            <w:pPr>
              <w:spacing w:line="360" w:lineRule="auto"/>
              <w:jc w:val="center"/>
              <w:rPr>
                <w:rFonts w:hint="eastAsia" w:ascii="仿宋" w:hAnsi="仿宋" w:eastAsia="仿宋" w:cs="仿宋"/>
                <w:szCs w:val="21"/>
              </w:rPr>
            </w:pPr>
            <w:r>
              <w:rPr>
                <w:rFonts w:hint="eastAsia" w:ascii="仿宋" w:hAnsi="仿宋" w:eastAsia="仿宋" w:cs="仿宋"/>
                <w:szCs w:val="21"/>
              </w:rPr>
              <w:t>3</w:t>
            </w:r>
          </w:p>
        </w:tc>
        <w:tc>
          <w:tcPr>
            <w:tcW w:w="4992" w:type="dxa"/>
            <w:noWrap w:val="0"/>
            <w:vAlign w:val="center"/>
          </w:tcPr>
          <w:p w14:paraId="0CAAB35C">
            <w:pPr>
              <w:spacing w:line="360" w:lineRule="auto"/>
              <w:rPr>
                <w:rFonts w:hint="eastAsia" w:ascii="仿宋" w:hAnsi="仿宋" w:eastAsia="仿宋" w:cs="仿宋"/>
                <w:iCs/>
                <w:szCs w:val="21"/>
              </w:rPr>
            </w:pPr>
            <w:r>
              <w:rPr>
                <w:rFonts w:hint="eastAsia" w:ascii="仿宋" w:hAnsi="仿宋" w:eastAsia="仿宋" w:cs="仿宋"/>
                <w:iCs/>
                <w:szCs w:val="21"/>
              </w:rPr>
              <w:t>……</w:t>
            </w:r>
          </w:p>
        </w:tc>
        <w:tc>
          <w:tcPr>
            <w:tcW w:w="2135" w:type="dxa"/>
            <w:noWrap w:val="0"/>
            <w:vAlign w:val="center"/>
          </w:tcPr>
          <w:p w14:paraId="001CCB0C">
            <w:pPr>
              <w:spacing w:line="360" w:lineRule="auto"/>
              <w:rPr>
                <w:rFonts w:hint="eastAsia" w:ascii="仿宋" w:hAnsi="仿宋" w:eastAsia="仿宋" w:cs="仿宋"/>
                <w:szCs w:val="21"/>
              </w:rPr>
            </w:pPr>
          </w:p>
        </w:tc>
        <w:tc>
          <w:tcPr>
            <w:tcW w:w="1308" w:type="dxa"/>
            <w:noWrap w:val="0"/>
            <w:vAlign w:val="center"/>
          </w:tcPr>
          <w:p w14:paraId="295D44DA">
            <w:pPr>
              <w:spacing w:line="360" w:lineRule="auto"/>
              <w:rPr>
                <w:rFonts w:hint="eastAsia" w:ascii="仿宋" w:hAnsi="仿宋" w:eastAsia="仿宋" w:cs="仿宋"/>
                <w:szCs w:val="21"/>
              </w:rPr>
            </w:pPr>
          </w:p>
        </w:tc>
      </w:tr>
    </w:tbl>
    <w:p w14:paraId="6C72746E">
      <w:pPr>
        <w:widowControl/>
        <w:spacing w:line="360" w:lineRule="auto"/>
        <w:jc w:val="left"/>
        <w:rPr>
          <w:rFonts w:hint="eastAsia" w:ascii="仿宋" w:hAnsi="仿宋" w:eastAsia="仿宋" w:cs="仿宋"/>
          <w:b/>
          <w:bCs/>
          <w:color w:val="000000"/>
        </w:rPr>
      </w:pPr>
    </w:p>
    <w:p w14:paraId="373E6255">
      <w:pPr>
        <w:spacing w:before="312" w:after="312" w:line="360" w:lineRule="auto"/>
        <w:jc w:val="center"/>
        <w:rPr>
          <w:rFonts w:hint="eastAsia" w:ascii="仿宋" w:hAnsi="仿宋" w:eastAsia="仿宋" w:cs="仿宋"/>
          <w:b/>
          <w:bCs/>
        </w:rPr>
      </w:pPr>
      <w:r>
        <w:rPr>
          <w:rFonts w:hint="eastAsia" w:ascii="仿宋" w:hAnsi="仿宋" w:eastAsia="仿宋" w:cs="仿宋"/>
          <w:b/>
          <w:bCs/>
        </w:rPr>
        <w:br w:type="page" w:clear="all"/>
      </w:r>
      <w:r>
        <w:rPr>
          <w:rFonts w:hint="eastAsia" w:ascii="仿宋" w:hAnsi="仿宋" w:eastAsia="仿宋" w:cs="仿宋"/>
          <w:b/>
          <w:bCs/>
        </w:rPr>
        <w:t>中小企业声明函（服务）</w:t>
      </w:r>
    </w:p>
    <w:p w14:paraId="1F6920F9">
      <w:pPr>
        <w:spacing w:line="360" w:lineRule="auto"/>
        <w:ind w:firstLine="420"/>
        <w:jc w:val="left"/>
        <w:rPr>
          <w:rFonts w:hint="eastAsia" w:ascii="仿宋" w:hAnsi="仿宋" w:eastAsia="仿宋" w:cs="仿宋"/>
        </w:rPr>
      </w:pPr>
      <w:r>
        <w:rPr>
          <w:rFonts w:hint="eastAsia" w:ascii="仿宋" w:hAnsi="仿宋" w:eastAsia="仿宋" w:cs="仿宋"/>
        </w:rPr>
        <w:t>本公司（联合体）郑重声明，根据《政府采购促进中小企业发展管理办法》（财库﹝2020﹞46号）的规定，本公司（联合体）参加</w:t>
      </w:r>
      <w:r>
        <w:rPr>
          <w:rFonts w:hint="eastAsia" w:ascii="仿宋" w:hAnsi="仿宋" w:eastAsia="仿宋" w:cs="仿宋"/>
          <w:u w:val="single"/>
        </w:rPr>
        <w:t>（单位名称）</w:t>
      </w:r>
      <w:r>
        <w:rPr>
          <w:rFonts w:hint="eastAsia" w:ascii="仿宋" w:hAnsi="仿宋" w:eastAsia="仿宋" w:cs="仿宋"/>
        </w:rPr>
        <w:t>的</w:t>
      </w:r>
      <w:r>
        <w:rPr>
          <w:rFonts w:hint="eastAsia" w:ascii="仿宋" w:hAnsi="仿宋" w:eastAsia="仿宋" w:cs="仿宋"/>
          <w:u w:val="single"/>
        </w:rPr>
        <w:t>（项目名称）</w:t>
      </w:r>
      <w:r>
        <w:rPr>
          <w:rFonts w:hint="eastAsia" w:ascii="仿宋" w:hAnsi="仿宋" w:eastAsia="仿宋" w:cs="仿宋"/>
        </w:rPr>
        <w:t>采购活动，工程的施工单位全部为符合政策要求的中小企业（或者：服务全部由符合政策要求的中小企业承接）。相关企业（含联合体中的中小企业、签订分包意向协议的中小企业）的具体情况如下：</w:t>
      </w:r>
    </w:p>
    <w:p w14:paraId="406D6604">
      <w:pPr>
        <w:spacing w:line="360" w:lineRule="auto"/>
        <w:ind w:firstLine="420"/>
        <w:jc w:val="left"/>
        <w:rPr>
          <w:rFonts w:hint="eastAsia" w:ascii="仿宋" w:hAnsi="仿宋" w:eastAsia="仿宋" w:cs="仿宋"/>
          <w:u w:val="single"/>
        </w:rPr>
      </w:pPr>
      <w:r>
        <w:rPr>
          <w:rFonts w:hint="eastAsia" w:ascii="仿宋" w:hAnsi="仿宋" w:eastAsia="仿宋" w:cs="仿宋"/>
        </w:rPr>
        <w:t>1.</w:t>
      </w:r>
      <w:r>
        <w:rPr>
          <w:rFonts w:hint="eastAsia" w:ascii="仿宋" w:hAnsi="仿宋" w:eastAsia="仿宋" w:cs="仿宋"/>
          <w:u w:val="single"/>
        </w:rPr>
        <w:t>（标的名称）</w:t>
      </w:r>
      <w:r>
        <w:rPr>
          <w:rFonts w:hint="eastAsia" w:ascii="仿宋" w:hAnsi="仿宋" w:eastAsia="仿宋" w:cs="仿宋"/>
        </w:rPr>
        <w:t>，属于</w:t>
      </w:r>
      <w:r>
        <w:rPr>
          <w:rFonts w:hint="eastAsia" w:ascii="仿宋" w:hAnsi="仿宋" w:eastAsia="仿宋" w:cs="仿宋"/>
          <w:u w:val="single"/>
        </w:rPr>
        <w:t>（</w:t>
      </w:r>
      <w:r>
        <w:rPr>
          <w:rFonts w:hint="eastAsia" w:ascii="仿宋" w:hAnsi="仿宋" w:eastAsia="仿宋" w:cs="仿宋"/>
          <w:sz w:val="21"/>
          <w:szCs w:val="21"/>
          <w:highlight w:val="none"/>
          <w:u w:val="single"/>
        </w:rPr>
        <w:t>软件和信息技术服务业</w:t>
      </w:r>
      <w:r>
        <w:rPr>
          <w:rFonts w:hint="eastAsia" w:ascii="仿宋" w:hAnsi="仿宋" w:eastAsia="仿宋" w:cs="仿宋"/>
          <w:u w:val="single"/>
        </w:rPr>
        <w:t>）（</w:t>
      </w:r>
      <w:r>
        <w:rPr>
          <w:rFonts w:hint="eastAsia" w:ascii="仿宋" w:hAnsi="仿宋" w:eastAsia="仿宋" w:cs="仿宋"/>
          <w:highlight w:val="yellow"/>
          <w:u w:val="single"/>
        </w:rPr>
        <w:t>该行业类别不可修改</w:t>
      </w:r>
      <w:r>
        <w:rPr>
          <w:rFonts w:hint="eastAsia" w:ascii="仿宋" w:hAnsi="仿宋" w:eastAsia="仿宋" w:cs="仿宋"/>
          <w:u w:val="single"/>
        </w:rPr>
        <w:t>）</w:t>
      </w:r>
      <w:r>
        <w:rPr>
          <w:rFonts w:hint="eastAsia" w:ascii="仿宋" w:hAnsi="仿宋" w:eastAsia="仿宋" w:cs="仿宋"/>
        </w:rPr>
        <w:t>；承建（承接）企业为</w:t>
      </w:r>
      <w:r>
        <w:rPr>
          <w:rFonts w:hint="eastAsia" w:ascii="仿宋" w:hAnsi="仿宋" w:eastAsia="仿宋" w:cs="仿宋"/>
          <w:u w:val="single"/>
        </w:rPr>
        <w:t>（企业名称）</w:t>
      </w:r>
      <w:r>
        <w:rPr>
          <w:rFonts w:hint="eastAsia" w:ascii="仿宋" w:hAnsi="仿宋" w:eastAsia="仿宋" w:cs="仿宋"/>
        </w:rPr>
        <w:t>，从业人员人，营业收入为万元，资产总额为万元</w:t>
      </w:r>
      <w:r>
        <w:rPr>
          <w:rFonts w:hint="eastAsia" w:ascii="仿宋" w:hAnsi="仿宋" w:eastAsia="仿宋" w:cs="仿宋"/>
          <w:lang w:eastAsia="en-US"/>
        </w:rPr>
        <w:fldChar w:fldCharType="begin"/>
      </w:r>
      <w:r>
        <w:rPr>
          <w:rFonts w:hint="eastAsia" w:ascii="仿宋" w:hAnsi="仿宋" w:eastAsia="仿宋" w:cs="仿宋"/>
          <w:color w:val="000000"/>
          <w:spacing w:val="-1"/>
          <w:vertAlign w:val="superscript"/>
        </w:rPr>
        <w:instrText xml:space="preserve"> HYPERLINK \l "br1" </w:instrText>
      </w:r>
      <w:r>
        <w:rPr>
          <w:rFonts w:hint="eastAsia" w:ascii="仿宋" w:hAnsi="仿宋" w:eastAsia="仿宋" w:cs="仿宋"/>
          <w:lang w:eastAsia="en-US"/>
        </w:rPr>
        <w:fldChar w:fldCharType="separate"/>
      </w:r>
      <w:r>
        <w:rPr>
          <w:rFonts w:hint="eastAsia" w:ascii="仿宋" w:hAnsi="仿宋" w:eastAsia="仿宋" w:cs="仿宋"/>
          <w:color w:val="000000"/>
          <w:spacing w:val="-1"/>
          <w:vertAlign w:val="superscript"/>
        </w:rPr>
        <w:t>1</w:t>
      </w:r>
      <w:r>
        <w:rPr>
          <w:rFonts w:hint="eastAsia" w:ascii="仿宋" w:hAnsi="仿宋" w:eastAsia="仿宋" w:cs="仿宋"/>
          <w:lang w:eastAsia="en-US"/>
        </w:rPr>
        <w:fldChar w:fldCharType="end"/>
      </w:r>
      <w:r>
        <w:rPr>
          <w:rFonts w:hint="eastAsia" w:ascii="仿宋" w:hAnsi="仿宋" w:eastAsia="仿宋" w:cs="仿宋"/>
        </w:rPr>
        <w:t>，属于</w:t>
      </w:r>
      <w:r>
        <w:rPr>
          <w:rFonts w:hint="eastAsia" w:ascii="仿宋" w:hAnsi="仿宋" w:eastAsia="仿宋" w:cs="仿宋"/>
          <w:u w:val="single"/>
        </w:rPr>
        <w:t>（中型企业、小型企业、微型企业）；</w:t>
      </w:r>
    </w:p>
    <w:p w14:paraId="479BC206">
      <w:pPr>
        <w:spacing w:line="360" w:lineRule="auto"/>
        <w:ind w:firstLine="420"/>
        <w:jc w:val="left"/>
        <w:rPr>
          <w:rFonts w:hint="eastAsia" w:ascii="仿宋" w:hAnsi="仿宋" w:eastAsia="仿宋" w:cs="仿宋"/>
          <w:u w:val="single"/>
        </w:rPr>
      </w:pPr>
      <w:r>
        <w:rPr>
          <w:rFonts w:hint="eastAsia" w:ascii="仿宋" w:hAnsi="仿宋" w:eastAsia="仿宋" w:cs="仿宋"/>
        </w:rPr>
        <w:t>2.</w:t>
      </w:r>
      <w:r>
        <w:rPr>
          <w:rFonts w:hint="eastAsia" w:ascii="仿宋" w:hAnsi="仿宋" w:eastAsia="仿宋" w:cs="仿宋"/>
          <w:u w:val="single"/>
        </w:rPr>
        <w:t>（标的名称）</w:t>
      </w:r>
      <w:r>
        <w:rPr>
          <w:rFonts w:hint="eastAsia" w:ascii="仿宋" w:hAnsi="仿宋" w:eastAsia="仿宋" w:cs="仿宋"/>
        </w:rPr>
        <w:t>，属于</w:t>
      </w:r>
      <w:r>
        <w:rPr>
          <w:rFonts w:hint="eastAsia" w:ascii="仿宋" w:hAnsi="仿宋" w:eastAsia="仿宋" w:cs="仿宋"/>
          <w:u w:val="single"/>
        </w:rPr>
        <w:t>（软件和信息技术服务业</w:t>
      </w:r>
      <w:r>
        <w:rPr>
          <w:rFonts w:hint="eastAsia" w:ascii="仿宋" w:hAnsi="仿宋" w:eastAsia="仿宋" w:cs="仿宋"/>
          <w:u w:val="single"/>
          <w:lang w:eastAsia="zh-CN"/>
        </w:rPr>
        <w:t>）</w:t>
      </w:r>
      <w:r>
        <w:rPr>
          <w:rFonts w:hint="eastAsia" w:ascii="仿宋" w:hAnsi="仿宋" w:eastAsia="仿宋" w:cs="仿宋"/>
          <w:u w:val="single"/>
        </w:rPr>
        <w:t>（</w:t>
      </w:r>
      <w:r>
        <w:rPr>
          <w:rFonts w:hint="eastAsia" w:ascii="仿宋" w:hAnsi="仿宋" w:eastAsia="仿宋" w:cs="仿宋"/>
          <w:highlight w:val="yellow"/>
          <w:u w:val="single"/>
        </w:rPr>
        <w:t>该行业类别不可修改</w:t>
      </w:r>
      <w:r>
        <w:rPr>
          <w:rFonts w:hint="eastAsia" w:ascii="仿宋" w:hAnsi="仿宋" w:eastAsia="仿宋" w:cs="仿宋"/>
          <w:u w:val="single"/>
        </w:rPr>
        <w:t>）</w:t>
      </w:r>
      <w:r>
        <w:rPr>
          <w:rFonts w:hint="eastAsia" w:ascii="仿宋" w:hAnsi="仿宋" w:eastAsia="仿宋" w:cs="仿宋"/>
        </w:rPr>
        <w:t>；承建（承接）企业为</w:t>
      </w:r>
      <w:r>
        <w:rPr>
          <w:rFonts w:hint="eastAsia" w:ascii="仿宋" w:hAnsi="仿宋" w:eastAsia="仿宋" w:cs="仿宋"/>
          <w:u w:val="single"/>
        </w:rPr>
        <w:t>（企业名称）</w:t>
      </w:r>
      <w:r>
        <w:rPr>
          <w:rFonts w:hint="eastAsia" w:ascii="仿宋" w:hAnsi="仿宋" w:eastAsia="仿宋" w:cs="仿宋"/>
        </w:rPr>
        <w:t>，从业人员人，营业收入为万元，资产总额为万元，属于</w:t>
      </w:r>
      <w:r>
        <w:rPr>
          <w:rFonts w:hint="eastAsia" w:ascii="仿宋" w:hAnsi="仿宋" w:eastAsia="仿宋" w:cs="仿宋"/>
          <w:u w:val="single"/>
        </w:rPr>
        <w:t>（中型企业、小型企业、微型企业）；</w:t>
      </w:r>
    </w:p>
    <w:p w14:paraId="40D9F607">
      <w:pPr>
        <w:spacing w:line="360" w:lineRule="auto"/>
        <w:ind w:firstLine="420"/>
        <w:jc w:val="left"/>
        <w:rPr>
          <w:rFonts w:hint="eastAsia" w:ascii="仿宋" w:hAnsi="仿宋" w:eastAsia="仿宋" w:cs="仿宋"/>
        </w:rPr>
      </w:pPr>
      <w:r>
        <w:rPr>
          <w:rFonts w:hint="eastAsia" w:ascii="仿宋" w:hAnsi="仿宋" w:eastAsia="仿宋" w:cs="仿宋"/>
        </w:rPr>
        <w:t>……</w:t>
      </w:r>
    </w:p>
    <w:p w14:paraId="49A37288">
      <w:pPr>
        <w:spacing w:line="360" w:lineRule="auto"/>
        <w:ind w:firstLine="420"/>
        <w:jc w:val="left"/>
        <w:rPr>
          <w:rFonts w:hint="eastAsia" w:ascii="仿宋" w:hAnsi="仿宋" w:eastAsia="仿宋" w:cs="仿宋"/>
        </w:rPr>
      </w:pPr>
      <w:r>
        <w:rPr>
          <w:rFonts w:hint="eastAsia" w:ascii="仿宋" w:hAnsi="仿宋" w:eastAsia="仿宋" w:cs="仿宋"/>
        </w:rPr>
        <w:t>以上企业，不属于大企业的分支机构，不存在控股股东为大企业的情形，也不存在与大企业的负责人为同一人的情形。</w:t>
      </w:r>
    </w:p>
    <w:p w14:paraId="4B34BA06">
      <w:pPr>
        <w:spacing w:line="360" w:lineRule="auto"/>
        <w:ind w:firstLine="420"/>
        <w:jc w:val="left"/>
        <w:rPr>
          <w:rFonts w:hint="eastAsia" w:ascii="仿宋" w:hAnsi="仿宋" w:eastAsia="仿宋" w:cs="仿宋"/>
        </w:rPr>
      </w:pPr>
      <w:r>
        <w:rPr>
          <w:rFonts w:hint="eastAsia" w:ascii="仿宋" w:hAnsi="仿宋" w:eastAsia="仿宋" w:cs="仿宋"/>
        </w:rPr>
        <w:t>本企业对上述声明内容的真实性负责。如有虚假，将依法承担相应责任。</w:t>
      </w:r>
    </w:p>
    <w:p w14:paraId="3A955749">
      <w:pPr>
        <w:spacing w:line="360" w:lineRule="auto"/>
        <w:rPr>
          <w:rFonts w:hint="eastAsia" w:ascii="仿宋" w:hAnsi="仿宋" w:eastAsia="仿宋" w:cs="仿宋"/>
        </w:rPr>
      </w:pPr>
      <w:r>
        <w:rPr>
          <w:rFonts w:hint="eastAsia" w:ascii="仿宋" w:hAnsi="仿宋" w:eastAsia="仿宋" w:cs="仿宋"/>
          <w:b/>
          <w:bCs/>
        </w:rPr>
        <w:t>注</w:t>
      </w:r>
      <w:r>
        <w:rPr>
          <w:rFonts w:hint="eastAsia" w:ascii="仿宋" w:hAnsi="仿宋" w:eastAsia="仿宋" w:cs="仿宋"/>
        </w:rPr>
        <w:t>：1、从业人员（不仅指在职职工）、营业收入、资产总额填报上一年度数据，无上一年度数据的新成立企业可不填报。</w:t>
      </w:r>
    </w:p>
    <w:p w14:paraId="39B7B374">
      <w:pPr>
        <w:spacing w:line="360" w:lineRule="auto"/>
        <w:ind w:firstLine="420"/>
        <w:rPr>
          <w:rFonts w:hint="eastAsia" w:ascii="仿宋" w:hAnsi="仿宋" w:eastAsia="仿宋" w:cs="仿宋"/>
        </w:rPr>
      </w:pPr>
      <w:r>
        <w:rPr>
          <w:rFonts w:hint="eastAsia" w:ascii="仿宋" w:hAnsi="仿宋" w:eastAsia="仿宋" w:cs="仿宋"/>
        </w:rPr>
        <w:t>2、供应商如不提供此声明函，价格将不做相应扣除。</w:t>
      </w:r>
    </w:p>
    <w:p w14:paraId="1286C97F">
      <w:pPr>
        <w:spacing w:line="360" w:lineRule="auto"/>
        <w:ind w:firstLine="420" w:firstLineChars="200"/>
        <w:rPr>
          <w:rFonts w:hint="eastAsia" w:ascii="仿宋" w:hAnsi="仿宋" w:eastAsia="仿宋" w:cs="仿宋"/>
        </w:rPr>
      </w:pPr>
      <w:r>
        <w:rPr>
          <w:rFonts w:hint="eastAsia" w:ascii="仿宋" w:hAnsi="仿宋" w:eastAsia="仿宋" w:cs="仿宋"/>
        </w:rPr>
        <w:t>3、企业声明函请完整填写，中标后将公示。</w:t>
      </w:r>
    </w:p>
    <w:p w14:paraId="683C73BF">
      <w:pPr>
        <w:spacing w:line="360" w:lineRule="auto"/>
        <w:ind w:firstLine="420"/>
        <w:jc w:val="left"/>
        <w:rPr>
          <w:rFonts w:hint="eastAsia" w:ascii="仿宋" w:hAnsi="仿宋" w:eastAsia="仿宋" w:cs="仿宋"/>
        </w:rPr>
      </w:pPr>
      <w:r>
        <w:rPr>
          <w:rFonts w:hint="eastAsia" w:ascii="仿宋" w:hAnsi="仿宋" w:eastAsia="仿宋" w:cs="仿宋"/>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0787E14C">
      <w:pPr>
        <w:spacing w:line="360" w:lineRule="auto"/>
        <w:ind w:firstLine="420"/>
        <w:jc w:val="left"/>
        <w:rPr>
          <w:rFonts w:hint="eastAsia" w:ascii="仿宋" w:hAnsi="仿宋" w:eastAsia="仿宋" w:cs="仿宋"/>
        </w:rPr>
      </w:pPr>
      <w:r>
        <w:rPr>
          <w:rFonts w:hint="eastAsia" w:ascii="仿宋" w:hAnsi="仿宋" w:eastAsia="仿宋" w:cs="仿宋"/>
        </w:rPr>
        <w:t>5、中小企业不得属于大企业的分支机构，不得存在控股股东为大企业的情形，不得存在与大企业的负责人为同一人的情形。</w:t>
      </w:r>
    </w:p>
    <w:p w14:paraId="71E43955">
      <w:pPr>
        <w:spacing w:line="360" w:lineRule="auto"/>
        <w:ind w:firstLine="420"/>
        <w:jc w:val="left"/>
        <w:rPr>
          <w:rFonts w:hint="eastAsia" w:ascii="仿宋" w:hAnsi="仿宋" w:eastAsia="仿宋" w:cs="仿宋"/>
        </w:rPr>
      </w:pPr>
      <w:r>
        <w:rPr>
          <w:rFonts w:hint="eastAsia" w:ascii="仿宋" w:hAnsi="仿宋" w:eastAsia="仿宋" w:cs="仿宋"/>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2298767">
      <w:pPr>
        <w:spacing w:line="360" w:lineRule="auto"/>
        <w:ind w:firstLine="4620"/>
        <w:jc w:val="left"/>
        <w:rPr>
          <w:rFonts w:hint="eastAsia" w:ascii="仿宋" w:hAnsi="仿宋" w:eastAsia="仿宋" w:cs="仿宋"/>
        </w:rPr>
      </w:pPr>
      <w:r>
        <w:rPr>
          <w:rFonts w:hint="eastAsia" w:ascii="仿宋" w:hAnsi="仿宋" w:eastAsia="仿宋" w:cs="仿宋"/>
        </w:rPr>
        <w:t>企业名称（盖章）：</w:t>
      </w:r>
    </w:p>
    <w:p w14:paraId="4D0E3AAD">
      <w:pPr>
        <w:spacing w:line="360" w:lineRule="auto"/>
        <w:ind w:firstLine="4620"/>
        <w:jc w:val="left"/>
        <w:rPr>
          <w:rFonts w:hint="eastAsia" w:ascii="仿宋" w:hAnsi="仿宋" w:eastAsia="仿宋" w:cs="仿宋"/>
        </w:rPr>
      </w:pPr>
      <w:r>
        <w:rPr>
          <w:rFonts w:hint="eastAsia" w:ascii="仿宋" w:hAnsi="仿宋" w:eastAsia="仿宋" w:cs="仿宋"/>
        </w:rPr>
        <w:t>日期：</w:t>
      </w:r>
    </w:p>
    <w:p w14:paraId="11F94256">
      <w:pPr>
        <w:spacing w:line="360" w:lineRule="auto"/>
        <w:ind w:firstLine="4620"/>
        <w:jc w:val="left"/>
        <w:rPr>
          <w:rFonts w:hint="eastAsia" w:ascii="仿宋" w:hAnsi="仿宋" w:eastAsia="仿宋" w:cs="仿宋"/>
        </w:rPr>
      </w:pPr>
    </w:p>
    <w:p w14:paraId="09F0E253">
      <w:pPr>
        <w:pStyle w:val="198"/>
        <w:widowControl/>
        <w:spacing w:before="300" w:after="300" w:line="360" w:lineRule="auto"/>
        <w:jc w:val="center"/>
        <w:rPr>
          <w:rFonts w:hint="eastAsia" w:ascii="仿宋" w:hAnsi="仿宋" w:eastAsia="仿宋" w:cs="仿宋"/>
          <w:bCs w:val="0"/>
          <w:color w:val="333333"/>
          <w:sz w:val="21"/>
          <w:szCs w:val="21"/>
        </w:rPr>
      </w:pPr>
      <w:bookmarkStart w:id="97" w:name="_Toc109304977"/>
    </w:p>
    <w:p w14:paraId="13046179">
      <w:pPr>
        <w:rPr>
          <w:rFonts w:hint="eastAsia" w:ascii="仿宋" w:hAnsi="仿宋" w:eastAsia="仿宋" w:cs="仿宋"/>
          <w:bCs w:val="0"/>
          <w:color w:val="333333"/>
          <w:sz w:val="21"/>
          <w:szCs w:val="21"/>
        </w:rPr>
      </w:pPr>
      <w:r>
        <w:rPr>
          <w:rFonts w:hint="eastAsia" w:ascii="仿宋" w:hAnsi="仿宋" w:eastAsia="仿宋" w:cs="仿宋"/>
          <w:bCs w:val="0"/>
          <w:color w:val="333333"/>
          <w:sz w:val="21"/>
          <w:szCs w:val="21"/>
        </w:rPr>
        <w:br w:type="page"/>
      </w:r>
    </w:p>
    <w:p w14:paraId="5E3E939A">
      <w:pPr>
        <w:pStyle w:val="198"/>
        <w:widowControl/>
        <w:spacing w:before="300" w:after="300" w:line="360" w:lineRule="auto"/>
        <w:jc w:val="center"/>
        <w:rPr>
          <w:rFonts w:hint="eastAsia" w:ascii="仿宋" w:hAnsi="仿宋" w:eastAsia="仿宋" w:cs="仿宋"/>
          <w:color w:val="666666"/>
          <w:sz w:val="21"/>
          <w:szCs w:val="21"/>
        </w:rPr>
      </w:pPr>
      <w:r>
        <w:rPr>
          <w:rFonts w:hint="eastAsia" w:ascii="仿宋" w:hAnsi="仿宋" w:eastAsia="仿宋" w:cs="仿宋"/>
          <w:bCs w:val="0"/>
          <w:color w:val="333333"/>
          <w:sz w:val="21"/>
          <w:szCs w:val="21"/>
        </w:rPr>
        <w:t>中小微企业划型标准</w:t>
      </w:r>
      <w:bookmarkEnd w:id="97"/>
      <w:r>
        <w:rPr>
          <w:rFonts w:hint="eastAsia" w:ascii="仿宋" w:hAnsi="仿宋" w:eastAsia="仿宋" w:cs="仿宋"/>
          <w:bCs w:val="0"/>
          <w:color w:val="666666"/>
          <w:sz w:val="21"/>
          <w:szCs w:val="21"/>
        </w:rPr>
        <w:t> </w:t>
      </w:r>
    </w:p>
    <w:p w14:paraId="7547F813">
      <w:pPr>
        <w:pStyle w:val="223"/>
        <w:widowControl/>
        <w:spacing w:before="300" w:after="452" w:line="360" w:lineRule="auto"/>
        <w:ind w:firstLine="420"/>
        <w:rPr>
          <w:rFonts w:hint="eastAsia" w:ascii="仿宋" w:hAnsi="仿宋" w:eastAsia="仿宋" w:cs="仿宋"/>
          <w:color w:val="666666"/>
          <w:sz w:val="21"/>
          <w:szCs w:val="21"/>
        </w:rPr>
      </w:pPr>
      <w:r>
        <w:rPr>
          <w:rFonts w:hint="eastAsia" w:ascii="仿宋" w:hAnsi="仿宋" w:eastAsia="仿宋" w:cs="仿宋"/>
          <w:color w:val="666666"/>
          <w:sz w:val="21"/>
          <w:szCs w:val="21"/>
        </w:rPr>
        <w:t>   </w:t>
      </w:r>
      <w:r>
        <w:rPr>
          <w:rStyle w:val="225"/>
          <w:rFonts w:hint="eastAsia" w:ascii="仿宋" w:hAnsi="仿宋" w:eastAsia="仿宋" w:cs="仿宋"/>
          <w:color w:val="666666"/>
          <w:sz w:val="21"/>
          <w:szCs w:val="21"/>
        </w:rPr>
        <w:t>中小微企业划型标准如下：</w:t>
      </w:r>
    </w:p>
    <w:tbl>
      <w:tblPr>
        <w:tblStyle w:val="40"/>
        <w:tblW w:w="0" w:type="auto"/>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896"/>
        <w:gridCol w:w="1950"/>
        <w:gridCol w:w="1457"/>
        <w:gridCol w:w="1500"/>
      </w:tblGrid>
      <w:tr w14:paraId="0263AF0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jc w:val="center"/>
        </w:trPr>
        <w:tc>
          <w:tcPr>
            <w:tcW w:w="1401" w:type="dxa"/>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21037C65">
            <w:pPr>
              <w:pStyle w:val="37"/>
              <w:widowControl/>
              <w:spacing w:after="150" w:line="240" w:lineRule="auto"/>
              <w:jc w:val="center"/>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行业名称</w:t>
            </w:r>
          </w:p>
        </w:tc>
        <w:tc>
          <w:tcPr>
            <w:tcW w:w="170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22884FE2">
            <w:pPr>
              <w:pStyle w:val="37"/>
              <w:widowControl/>
              <w:spacing w:after="150" w:line="240" w:lineRule="auto"/>
              <w:jc w:val="center"/>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指标名称</w:t>
            </w:r>
          </w:p>
        </w:tc>
        <w:tc>
          <w:tcPr>
            <w:tcW w:w="866"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6BE5BB2D">
            <w:pPr>
              <w:pStyle w:val="37"/>
              <w:widowControl/>
              <w:spacing w:after="150" w:line="240" w:lineRule="auto"/>
              <w:jc w:val="center"/>
              <w:rPr>
                <w:rStyle w:val="43"/>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计量</w:t>
            </w:r>
          </w:p>
          <w:p w14:paraId="2C32EC8F">
            <w:pPr>
              <w:pStyle w:val="37"/>
              <w:widowControl/>
              <w:spacing w:after="150" w:line="240" w:lineRule="auto"/>
              <w:jc w:val="center"/>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单位</w:t>
            </w:r>
          </w:p>
        </w:tc>
        <w:tc>
          <w:tcPr>
            <w:tcW w:w="1920"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26DEF2E3">
            <w:pPr>
              <w:pStyle w:val="37"/>
              <w:widowControl/>
              <w:spacing w:after="150" w:line="240" w:lineRule="auto"/>
              <w:jc w:val="center"/>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中型</w:t>
            </w:r>
          </w:p>
        </w:tc>
        <w:tc>
          <w:tcPr>
            <w:tcW w:w="1427"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03864753">
            <w:pPr>
              <w:pStyle w:val="37"/>
              <w:widowControl/>
              <w:spacing w:after="150" w:line="240" w:lineRule="auto"/>
              <w:jc w:val="center"/>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小型</w:t>
            </w:r>
          </w:p>
        </w:tc>
        <w:tc>
          <w:tcPr>
            <w:tcW w:w="1455"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1829EAC3">
            <w:pPr>
              <w:pStyle w:val="37"/>
              <w:widowControl/>
              <w:spacing w:after="150" w:line="240" w:lineRule="auto"/>
              <w:jc w:val="center"/>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微型</w:t>
            </w:r>
          </w:p>
        </w:tc>
      </w:tr>
      <w:tr w14:paraId="2D9A228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bottom"/>
          </w:tcPr>
          <w:p w14:paraId="25E96A76">
            <w:pPr>
              <w:pStyle w:val="37"/>
              <w:widowControl/>
              <w:spacing w:after="150" w:line="360" w:lineRule="auto"/>
              <w:jc w:val="both"/>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B8254F">
            <w:pPr>
              <w:pStyle w:val="37"/>
              <w:widowControl/>
              <w:spacing w:after="150" w:line="360" w:lineRule="auto"/>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从业人员（X）</w:t>
            </w:r>
          </w:p>
        </w:tc>
        <w:tc>
          <w:tcPr>
            <w:tcW w:w="866"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C8DD7F">
            <w:pPr>
              <w:pStyle w:val="37"/>
              <w:widowControl/>
              <w:spacing w:after="150" w:line="360" w:lineRule="auto"/>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人</w:t>
            </w:r>
          </w:p>
        </w:tc>
        <w:tc>
          <w:tcPr>
            <w:tcW w:w="192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42C206">
            <w:pPr>
              <w:pStyle w:val="37"/>
              <w:widowControl/>
              <w:spacing w:after="150" w:line="360" w:lineRule="auto"/>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100≤X＜300</w:t>
            </w:r>
          </w:p>
        </w:tc>
        <w:tc>
          <w:tcPr>
            <w:tcW w:w="142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CA4D93">
            <w:pPr>
              <w:pStyle w:val="37"/>
              <w:widowControl/>
              <w:spacing w:after="150" w:line="360" w:lineRule="auto"/>
              <w:jc w:val="both"/>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031F1C">
            <w:pPr>
              <w:pStyle w:val="37"/>
              <w:widowControl/>
              <w:spacing w:after="150" w:line="360" w:lineRule="auto"/>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X＜10</w:t>
            </w:r>
          </w:p>
        </w:tc>
      </w:tr>
      <w:tr w14:paraId="3D27C30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jc w:val="center"/>
        </w:trPr>
        <w:tc>
          <w:tcPr>
            <w:tcW w:w="1401" w:type="dxa"/>
            <w:vMerge w:val="continue"/>
            <w:tcBorders>
              <w:top w:val="nil"/>
              <w:left w:val="single" w:color="auto" w:sz="6" w:space="0"/>
              <w:bottom w:val="single" w:color="999999" w:sz="6" w:space="0"/>
              <w:right w:val="single" w:color="999999" w:sz="6" w:space="0"/>
            </w:tcBorders>
            <w:noWrap w:val="0"/>
            <w:vAlign w:val="center"/>
          </w:tcPr>
          <w:p w14:paraId="6340469C">
            <w:pPr>
              <w:widowControl/>
              <w:spacing w:line="360" w:lineRule="auto"/>
              <w:jc w:val="left"/>
              <w:rPr>
                <w:rFonts w:hint="eastAsia" w:ascii="仿宋" w:hAnsi="仿宋" w:eastAsia="仿宋" w:cs="仿宋"/>
                <w:color w:val="auto"/>
                <w:kern w:val="0"/>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55DDE38">
            <w:pPr>
              <w:pStyle w:val="37"/>
              <w:widowControl/>
              <w:spacing w:after="150" w:line="360" w:lineRule="auto"/>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营业收入（Y）</w:t>
            </w:r>
          </w:p>
        </w:tc>
        <w:tc>
          <w:tcPr>
            <w:tcW w:w="866"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2FCF21">
            <w:pPr>
              <w:pStyle w:val="37"/>
              <w:widowControl/>
              <w:spacing w:after="150" w:line="360" w:lineRule="auto"/>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万元</w:t>
            </w:r>
          </w:p>
        </w:tc>
        <w:tc>
          <w:tcPr>
            <w:tcW w:w="1920"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9F47E0">
            <w:pPr>
              <w:pStyle w:val="37"/>
              <w:widowControl/>
              <w:spacing w:after="150" w:line="360" w:lineRule="auto"/>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1000≤Y＜10000</w:t>
            </w:r>
          </w:p>
        </w:tc>
        <w:tc>
          <w:tcPr>
            <w:tcW w:w="1427"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0353DB">
            <w:pPr>
              <w:pStyle w:val="37"/>
              <w:widowControl/>
              <w:spacing w:after="150" w:line="360" w:lineRule="auto"/>
              <w:jc w:val="both"/>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E02627">
            <w:pPr>
              <w:pStyle w:val="37"/>
              <w:widowControl/>
              <w:spacing w:after="150" w:line="360" w:lineRule="auto"/>
              <w:rPr>
                <w:rFonts w:hint="eastAsia" w:ascii="仿宋" w:hAnsi="仿宋" w:eastAsia="仿宋" w:cs="仿宋"/>
                <w:color w:val="auto"/>
                <w:sz w:val="21"/>
                <w:szCs w:val="21"/>
                <w:highlight w:val="none"/>
              </w:rPr>
            </w:pPr>
            <w:r>
              <w:rPr>
                <w:rStyle w:val="43"/>
                <w:rFonts w:hint="eastAsia" w:ascii="仿宋" w:hAnsi="仿宋" w:eastAsia="仿宋" w:cs="仿宋"/>
                <w:color w:val="auto"/>
                <w:sz w:val="21"/>
                <w:szCs w:val="21"/>
                <w:highlight w:val="none"/>
              </w:rPr>
              <w:t>Y＜50</w:t>
            </w:r>
          </w:p>
        </w:tc>
      </w:tr>
    </w:tbl>
    <w:p w14:paraId="5070B034">
      <w:pPr>
        <w:pStyle w:val="223"/>
        <w:widowControl/>
        <w:spacing w:before="300" w:after="452" w:line="360" w:lineRule="auto"/>
        <w:ind w:firstLine="420"/>
        <w:rPr>
          <w:rStyle w:val="225"/>
          <w:rFonts w:hint="eastAsia" w:ascii="仿宋" w:hAnsi="仿宋" w:eastAsia="仿宋" w:cs="仿宋"/>
          <w:color w:val="666666"/>
          <w:sz w:val="21"/>
          <w:szCs w:val="21"/>
        </w:rPr>
      </w:pPr>
      <w:r>
        <w:rPr>
          <w:rStyle w:val="225"/>
          <w:rFonts w:hint="eastAsia" w:ascii="仿宋" w:hAnsi="仿宋" w:eastAsia="仿宋" w:cs="仿宋"/>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02976439">
      <w:pPr>
        <w:spacing w:line="360" w:lineRule="auto"/>
        <w:jc w:val="center"/>
        <w:rPr>
          <w:rFonts w:hint="eastAsia" w:ascii="仿宋" w:hAnsi="仿宋" w:eastAsia="仿宋" w:cs="仿宋"/>
        </w:rPr>
      </w:pPr>
      <w:r>
        <w:rPr>
          <w:rStyle w:val="225"/>
          <w:rFonts w:hint="eastAsia" w:ascii="仿宋" w:hAnsi="仿宋" w:eastAsia="仿宋" w:cs="仿宋"/>
          <w:color w:val="666666"/>
          <w:szCs w:val="21"/>
        </w:rPr>
        <w:br w:type="page" w:clear="all"/>
      </w:r>
      <w:r>
        <w:rPr>
          <w:rFonts w:hint="eastAsia" w:ascii="仿宋" w:hAnsi="仿宋" w:eastAsia="仿宋" w:cs="仿宋"/>
          <w:b/>
          <w:bCs/>
        </w:rPr>
        <w:t>残疾人福利性单位声明函</w:t>
      </w:r>
    </w:p>
    <w:p w14:paraId="2A35BAE9">
      <w:pPr>
        <w:spacing w:line="360" w:lineRule="auto"/>
        <w:ind w:firstLine="624"/>
        <w:rPr>
          <w:rFonts w:hint="eastAsia" w:ascii="仿宋" w:hAnsi="仿宋" w:eastAsia="仿宋" w:cs="仿宋"/>
          <w:spacing w:val="6"/>
          <w:sz w:val="30"/>
          <w:szCs w:val="30"/>
        </w:rPr>
      </w:pPr>
    </w:p>
    <w:p w14:paraId="57EF252D">
      <w:pPr>
        <w:spacing w:line="360" w:lineRule="auto"/>
        <w:ind w:firstLine="420"/>
        <w:rPr>
          <w:rFonts w:hint="eastAsia" w:ascii="仿宋" w:hAnsi="仿宋" w:eastAsia="仿宋" w:cs="仿宋"/>
          <w:szCs w:val="21"/>
        </w:rPr>
      </w:pPr>
      <w:r>
        <w:rPr>
          <w:rFonts w:hint="eastAsia" w:ascii="仿宋" w:hAnsi="仿宋" w:eastAsia="仿宋" w:cs="仿宋"/>
          <w:szCs w:val="21"/>
        </w:rPr>
        <w:t>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1CBE43E4">
      <w:pPr>
        <w:spacing w:line="360" w:lineRule="auto"/>
        <w:ind w:firstLine="420"/>
        <w:rPr>
          <w:rFonts w:hint="eastAsia" w:ascii="仿宋" w:hAnsi="仿宋" w:eastAsia="仿宋" w:cs="仿宋"/>
          <w:szCs w:val="21"/>
        </w:rPr>
      </w:pPr>
      <w:r>
        <w:rPr>
          <w:rFonts w:hint="eastAsia" w:ascii="仿宋" w:hAnsi="仿宋" w:eastAsia="仿宋" w:cs="仿宋"/>
          <w:szCs w:val="21"/>
        </w:rPr>
        <w:t>本单位在本次政府采购活动中提供的残疾人福利单位产品报价合计为人民币（大写）圆整（￥：）。</w:t>
      </w:r>
    </w:p>
    <w:p w14:paraId="6233F66F">
      <w:pPr>
        <w:spacing w:line="360" w:lineRule="auto"/>
        <w:ind w:firstLine="420"/>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48E289AE">
      <w:pPr>
        <w:spacing w:line="360" w:lineRule="auto"/>
        <w:ind w:firstLine="420"/>
        <w:rPr>
          <w:rFonts w:hint="eastAsia" w:ascii="仿宋" w:hAnsi="仿宋" w:eastAsia="仿宋" w:cs="仿宋"/>
          <w:szCs w:val="21"/>
        </w:rPr>
      </w:pPr>
    </w:p>
    <w:p w14:paraId="316A96BA">
      <w:pPr>
        <w:spacing w:line="360" w:lineRule="auto"/>
        <w:ind w:firstLine="420"/>
        <w:rPr>
          <w:rFonts w:hint="eastAsia" w:ascii="仿宋" w:hAnsi="仿宋" w:eastAsia="仿宋" w:cs="仿宋"/>
          <w:szCs w:val="21"/>
        </w:rPr>
      </w:pPr>
      <w:r>
        <w:rPr>
          <w:rFonts w:hint="eastAsia" w:ascii="仿宋" w:hAnsi="仿宋" w:eastAsia="仿宋" w:cs="仿宋"/>
          <w:szCs w:val="21"/>
        </w:rPr>
        <w:t>（备注：1、供应商如不提供此声明函，价格将不做相应扣除。2、成交供应商为残疾人福利单位的，此声明函将随成交结果同时公告，接受社会监督）</w:t>
      </w:r>
    </w:p>
    <w:p w14:paraId="2DAD51CC">
      <w:pPr>
        <w:spacing w:line="360" w:lineRule="auto"/>
        <w:ind w:firstLine="444"/>
        <w:rPr>
          <w:rFonts w:hint="eastAsia" w:ascii="仿宋" w:hAnsi="仿宋" w:eastAsia="仿宋" w:cs="仿宋"/>
          <w:spacing w:val="6"/>
          <w:szCs w:val="21"/>
        </w:rPr>
      </w:pPr>
    </w:p>
    <w:p w14:paraId="40142D25">
      <w:pPr>
        <w:tabs>
          <w:tab w:val="left" w:pos="4860"/>
        </w:tabs>
        <w:spacing w:line="360" w:lineRule="auto"/>
        <w:ind w:right="1560" w:firstLine="420"/>
        <w:jc w:val="center"/>
        <w:rPr>
          <w:rFonts w:hint="eastAsia" w:ascii="仿宋" w:hAnsi="仿宋" w:eastAsia="仿宋" w:cs="仿宋"/>
          <w:szCs w:val="21"/>
        </w:rPr>
      </w:pPr>
      <w:r>
        <w:rPr>
          <w:rFonts w:hint="eastAsia" w:ascii="仿宋" w:hAnsi="仿宋" w:eastAsia="仿宋" w:cs="仿宋"/>
          <w:szCs w:val="21"/>
        </w:rPr>
        <w:t>供应商全称（盖章）：</w:t>
      </w:r>
    </w:p>
    <w:p w14:paraId="5DCA23B3">
      <w:pPr>
        <w:tabs>
          <w:tab w:val="left" w:pos="4860"/>
        </w:tabs>
        <w:spacing w:line="360" w:lineRule="auto"/>
        <w:ind w:right="1560" w:firstLine="420"/>
        <w:jc w:val="center"/>
        <w:rPr>
          <w:rFonts w:hint="eastAsia" w:ascii="仿宋" w:hAnsi="仿宋" w:eastAsia="仿宋" w:cs="仿宋"/>
          <w:szCs w:val="21"/>
        </w:rPr>
      </w:pPr>
      <w:r>
        <w:rPr>
          <w:rFonts w:hint="eastAsia" w:ascii="仿宋" w:hAnsi="仿宋" w:eastAsia="仿宋" w:cs="仿宋"/>
          <w:szCs w:val="21"/>
        </w:rPr>
        <w:t>日期：</w:t>
      </w:r>
    </w:p>
    <w:p w14:paraId="4093761D">
      <w:pPr>
        <w:spacing w:line="360" w:lineRule="auto"/>
        <w:rPr>
          <w:rFonts w:hint="eastAsia" w:ascii="仿宋" w:hAnsi="仿宋" w:eastAsia="仿宋" w:cs="仿宋"/>
          <w:b/>
          <w:bCs/>
          <w:sz w:val="32"/>
          <w:szCs w:val="32"/>
        </w:rPr>
      </w:pPr>
      <w:bookmarkStart w:id="98" w:name="_Toc109304978"/>
    </w:p>
    <w:p w14:paraId="40D80CCC">
      <w:pPr>
        <w:pStyle w:val="200"/>
        <w:spacing w:line="360" w:lineRule="auto"/>
        <w:rPr>
          <w:rFonts w:hint="eastAsia" w:ascii="仿宋" w:hAnsi="仿宋" w:eastAsia="仿宋" w:cs="仿宋"/>
        </w:rPr>
      </w:pPr>
    </w:p>
    <w:p w14:paraId="13A4C644">
      <w:pPr>
        <w:spacing w:line="360" w:lineRule="auto"/>
        <w:rPr>
          <w:rFonts w:hint="eastAsia" w:ascii="仿宋" w:hAnsi="仿宋" w:eastAsia="仿宋" w:cs="仿宋"/>
        </w:rPr>
      </w:pPr>
    </w:p>
    <w:p w14:paraId="10DD7896">
      <w:pPr>
        <w:pStyle w:val="200"/>
        <w:spacing w:line="360" w:lineRule="auto"/>
        <w:rPr>
          <w:rFonts w:hint="eastAsia" w:ascii="仿宋" w:hAnsi="仿宋" w:eastAsia="仿宋" w:cs="仿宋"/>
        </w:rPr>
      </w:pPr>
    </w:p>
    <w:p w14:paraId="2A5D9BD9">
      <w:pPr>
        <w:spacing w:line="360" w:lineRule="auto"/>
        <w:rPr>
          <w:rFonts w:hint="eastAsia" w:ascii="仿宋" w:hAnsi="仿宋" w:eastAsia="仿宋" w:cs="仿宋"/>
        </w:rPr>
      </w:pPr>
    </w:p>
    <w:p w14:paraId="4BBCD627">
      <w:pPr>
        <w:pStyle w:val="200"/>
        <w:spacing w:line="360" w:lineRule="auto"/>
        <w:rPr>
          <w:rFonts w:hint="eastAsia" w:ascii="仿宋" w:hAnsi="仿宋" w:eastAsia="仿宋" w:cs="仿宋"/>
        </w:rPr>
      </w:pPr>
    </w:p>
    <w:p w14:paraId="362DBBF6">
      <w:pPr>
        <w:rPr>
          <w:rFonts w:hint="eastAsia" w:ascii="仿宋" w:hAnsi="仿宋" w:eastAsia="仿宋" w:cs="仿宋"/>
        </w:rPr>
      </w:pPr>
    </w:p>
    <w:p w14:paraId="06B86743">
      <w:pPr>
        <w:pStyle w:val="200"/>
        <w:rPr>
          <w:rFonts w:hint="eastAsia" w:ascii="仿宋" w:hAnsi="仿宋" w:eastAsia="仿宋" w:cs="仿宋"/>
        </w:rPr>
      </w:pPr>
    </w:p>
    <w:p w14:paraId="45135189">
      <w:pPr>
        <w:spacing w:line="360" w:lineRule="auto"/>
        <w:rPr>
          <w:rFonts w:hint="eastAsia" w:ascii="仿宋" w:hAnsi="仿宋" w:eastAsia="仿宋" w:cs="仿宋"/>
          <w:lang w:eastAsia="zh-CN"/>
        </w:rPr>
      </w:pPr>
    </w:p>
    <w:p w14:paraId="7427CBDB">
      <w:pPr>
        <w:spacing w:line="360" w:lineRule="auto"/>
        <w:jc w:val="center"/>
        <w:rPr>
          <w:rFonts w:hint="eastAsia" w:ascii="仿宋" w:hAnsi="仿宋" w:eastAsia="仿宋" w:cs="仿宋"/>
          <w:b/>
          <w:bCs/>
          <w:sz w:val="32"/>
          <w:szCs w:val="32"/>
        </w:rPr>
      </w:pPr>
    </w:p>
    <w:p w14:paraId="72F846CF">
      <w:pPr>
        <w:spacing w:line="360" w:lineRule="auto"/>
        <w:jc w:val="center"/>
        <w:rPr>
          <w:rFonts w:hint="eastAsia" w:ascii="仿宋" w:hAnsi="仿宋" w:eastAsia="仿宋" w:cs="仿宋"/>
          <w:b/>
          <w:bCs/>
          <w:sz w:val="32"/>
          <w:szCs w:val="32"/>
        </w:rPr>
      </w:pPr>
    </w:p>
    <w:p w14:paraId="3333FC09">
      <w:pPr>
        <w:spacing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四、磋商响应报价表</w:t>
      </w:r>
    </w:p>
    <w:p w14:paraId="5FA66599">
      <w:pPr>
        <w:spacing w:line="360" w:lineRule="auto"/>
        <w:rPr>
          <w:rFonts w:hint="eastAsia" w:ascii="仿宋" w:hAnsi="仿宋" w:eastAsia="仿宋" w:cs="仿宋"/>
          <w:lang w:eastAsia="zh-CN"/>
        </w:rPr>
      </w:pPr>
    </w:p>
    <w:p w14:paraId="01919FEA">
      <w:pPr>
        <w:pStyle w:val="214"/>
        <w:spacing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项目名称：</w:t>
      </w:r>
    </w:p>
    <w:p w14:paraId="48D8FC8A">
      <w:pPr>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highlight w:val="none"/>
        </w:rPr>
        <w:t>项目编号：分包号：</w:t>
      </w:r>
    </w:p>
    <w:tbl>
      <w:tblPr>
        <w:tblStyle w:val="40"/>
        <w:tblW w:w="101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
        <w:gridCol w:w="2423"/>
        <w:gridCol w:w="1737"/>
        <w:gridCol w:w="1486"/>
        <w:gridCol w:w="1601"/>
        <w:gridCol w:w="2024"/>
      </w:tblGrid>
      <w:tr w14:paraId="63D8A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6" w:hRule="atLeast"/>
          <w:jc w:val="center"/>
        </w:trPr>
        <w:tc>
          <w:tcPr>
            <w:tcW w:w="906" w:type="dxa"/>
            <w:noWrap w:val="0"/>
            <w:vAlign w:val="center"/>
          </w:tcPr>
          <w:p w14:paraId="40986E3C">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序号</w:t>
            </w:r>
          </w:p>
        </w:tc>
        <w:tc>
          <w:tcPr>
            <w:tcW w:w="2423" w:type="dxa"/>
            <w:noWrap w:val="0"/>
            <w:vAlign w:val="center"/>
          </w:tcPr>
          <w:p w14:paraId="2D8E3E2D">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产品、服务名称</w:t>
            </w:r>
          </w:p>
        </w:tc>
        <w:tc>
          <w:tcPr>
            <w:tcW w:w="1737" w:type="dxa"/>
            <w:noWrap w:val="0"/>
            <w:vAlign w:val="center"/>
          </w:tcPr>
          <w:p w14:paraId="13820FF2">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分项单位</w:t>
            </w:r>
          </w:p>
        </w:tc>
        <w:tc>
          <w:tcPr>
            <w:tcW w:w="1486" w:type="dxa"/>
            <w:noWrap w:val="0"/>
            <w:vAlign w:val="center"/>
          </w:tcPr>
          <w:p w14:paraId="331BD850">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数量</w:t>
            </w:r>
          </w:p>
        </w:tc>
        <w:tc>
          <w:tcPr>
            <w:tcW w:w="1601" w:type="dxa"/>
            <w:noWrap w:val="0"/>
            <w:vAlign w:val="center"/>
          </w:tcPr>
          <w:p w14:paraId="37CCB865">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单价</w:t>
            </w:r>
          </w:p>
          <w:p w14:paraId="4DD1701D">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（元）</w:t>
            </w:r>
          </w:p>
        </w:tc>
        <w:tc>
          <w:tcPr>
            <w:tcW w:w="2024" w:type="dxa"/>
            <w:noWrap w:val="0"/>
            <w:vAlign w:val="center"/>
          </w:tcPr>
          <w:p w14:paraId="3131BFA9">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单项</w:t>
            </w:r>
          </w:p>
          <w:p w14:paraId="65EBC8F9">
            <w:pPr>
              <w:spacing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合计价</w:t>
            </w:r>
          </w:p>
          <w:p w14:paraId="0529FA3A">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（元）</w:t>
            </w:r>
          </w:p>
        </w:tc>
      </w:tr>
      <w:tr w14:paraId="398AA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jc w:val="center"/>
        </w:trPr>
        <w:tc>
          <w:tcPr>
            <w:tcW w:w="906" w:type="dxa"/>
            <w:noWrap w:val="0"/>
            <w:vAlign w:val="center"/>
          </w:tcPr>
          <w:p w14:paraId="35E557D7">
            <w:pPr>
              <w:spacing w:line="360" w:lineRule="auto"/>
              <w:jc w:val="center"/>
              <w:rPr>
                <w:rFonts w:hint="eastAsia" w:ascii="仿宋" w:hAnsi="仿宋" w:eastAsia="仿宋" w:cs="仿宋"/>
                <w:color w:val="000000"/>
                <w:szCs w:val="21"/>
                <w:highlight w:val="none"/>
              </w:rPr>
            </w:pPr>
          </w:p>
        </w:tc>
        <w:tc>
          <w:tcPr>
            <w:tcW w:w="2423" w:type="dxa"/>
            <w:noWrap w:val="0"/>
            <w:vAlign w:val="center"/>
          </w:tcPr>
          <w:p w14:paraId="3C268F44">
            <w:pPr>
              <w:spacing w:line="360" w:lineRule="auto"/>
              <w:jc w:val="center"/>
              <w:rPr>
                <w:rFonts w:hint="eastAsia" w:ascii="仿宋" w:hAnsi="仿宋" w:eastAsia="仿宋" w:cs="仿宋"/>
                <w:color w:val="000000"/>
                <w:szCs w:val="21"/>
                <w:highlight w:val="none"/>
              </w:rPr>
            </w:pPr>
          </w:p>
        </w:tc>
        <w:tc>
          <w:tcPr>
            <w:tcW w:w="1737" w:type="dxa"/>
            <w:noWrap w:val="0"/>
            <w:vAlign w:val="center"/>
          </w:tcPr>
          <w:p w14:paraId="1BBA5FCE">
            <w:pPr>
              <w:spacing w:line="360" w:lineRule="auto"/>
              <w:jc w:val="center"/>
              <w:rPr>
                <w:rFonts w:hint="eastAsia" w:ascii="仿宋" w:hAnsi="仿宋" w:eastAsia="仿宋" w:cs="仿宋"/>
                <w:color w:val="000000"/>
                <w:szCs w:val="21"/>
                <w:highlight w:val="none"/>
              </w:rPr>
            </w:pPr>
          </w:p>
        </w:tc>
        <w:tc>
          <w:tcPr>
            <w:tcW w:w="1486" w:type="dxa"/>
            <w:noWrap w:val="0"/>
            <w:vAlign w:val="center"/>
          </w:tcPr>
          <w:p w14:paraId="6C2D237B">
            <w:pPr>
              <w:spacing w:line="360" w:lineRule="auto"/>
              <w:jc w:val="center"/>
              <w:rPr>
                <w:rFonts w:hint="eastAsia" w:ascii="仿宋" w:hAnsi="仿宋" w:eastAsia="仿宋" w:cs="仿宋"/>
                <w:color w:val="000000"/>
                <w:szCs w:val="21"/>
                <w:highlight w:val="none"/>
              </w:rPr>
            </w:pPr>
          </w:p>
        </w:tc>
        <w:tc>
          <w:tcPr>
            <w:tcW w:w="1601" w:type="dxa"/>
            <w:noWrap w:val="0"/>
            <w:vAlign w:val="center"/>
          </w:tcPr>
          <w:p w14:paraId="6B54C78F">
            <w:pPr>
              <w:spacing w:line="360" w:lineRule="auto"/>
              <w:jc w:val="center"/>
              <w:rPr>
                <w:rFonts w:hint="eastAsia" w:ascii="仿宋" w:hAnsi="仿宋" w:eastAsia="仿宋" w:cs="仿宋"/>
                <w:color w:val="000000"/>
                <w:szCs w:val="21"/>
                <w:highlight w:val="none"/>
              </w:rPr>
            </w:pPr>
          </w:p>
        </w:tc>
        <w:tc>
          <w:tcPr>
            <w:tcW w:w="2024" w:type="dxa"/>
            <w:noWrap w:val="0"/>
            <w:vAlign w:val="center"/>
          </w:tcPr>
          <w:p w14:paraId="5168A0F8">
            <w:pPr>
              <w:spacing w:line="360" w:lineRule="auto"/>
              <w:jc w:val="center"/>
              <w:rPr>
                <w:rFonts w:hint="eastAsia" w:ascii="仿宋" w:hAnsi="仿宋" w:eastAsia="仿宋" w:cs="仿宋"/>
                <w:color w:val="000000"/>
                <w:szCs w:val="21"/>
                <w:highlight w:val="none"/>
              </w:rPr>
            </w:pPr>
          </w:p>
        </w:tc>
      </w:tr>
      <w:tr w14:paraId="6CDF3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jc w:val="center"/>
        </w:trPr>
        <w:tc>
          <w:tcPr>
            <w:tcW w:w="906" w:type="dxa"/>
            <w:noWrap w:val="0"/>
            <w:vAlign w:val="center"/>
          </w:tcPr>
          <w:p w14:paraId="54281A23">
            <w:pPr>
              <w:spacing w:line="360" w:lineRule="auto"/>
              <w:jc w:val="center"/>
              <w:rPr>
                <w:rFonts w:hint="eastAsia" w:ascii="仿宋" w:hAnsi="仿宋" w:eastAsia="仿宋" w:cs="仿宋"/>
                <w:color w:val="000000"/>
                <w:szCs w:val="21"/>
                <w:highlight w:val="none"/>
              </w:rPr>
            </w:pPr>
          </w:p>
        </w:tc>
        <w:tc>
          <w:tcPr>
            <w:tcW w:w="2423" w:type="dxa"/>
            <w:noWrap w:val="0"/>
            <w:vAlign w:val="center"/>
          </w:tcPr>
          <w:p w14:paraId="13224CAE">
            <w:pPr>
              <w:spacing w:line="360" w:lineRule="auto"/>
              <w:jc w:val="center"/>
              <w:rPr>
                <w:rFonts w:hint="eastAsia" w:ascii="仿宋" w:hAnsi="仿宋" w:eastAsia="仿宋" w:cs="仿宋"/>
                <w:color w:val="000000"/>
                <w:szCs w:val="21"/>
                <w:highlight w:val="none"/>
              </w:rPr>
            </w:pPr>
          </w:p>
        </w:tc>
        <w:tc>
          <w:tcPr>
            <w:tcW w:w="1737" w:type="dxa"/>
            <w:noWrap w:val="0"/>
            <w:vAlign w:val="center"/>
          </w:tcPr>
          <w:p w14:paraId="1162D210">
            <w:pPr>
              <w:spacing w:line="360" w:lineRule="auto"/>
              <w:jc w:val="center"/>
              <w:rPr>
                <w:rFonts w:hint="eastAsia" w:ascii="仿宋" w:hAnsi="仿宋" w:eastAsia="仿宋" w:cs="仿宋"/>
                <w:color w:val="000000"/>
                <w:szCs w:val="21"/>
                <w:highlight w:val="none"/>
              </w:rPr>
            </w:pPr>
          </w:p>
        </w:tc>
        <w:tc>
          <w:tcPr>
            <w:tcW w:w="1486" w:type="dxa"/>
            <w:noWrap w:val="0"/>
            <w:vAlign w:val="center"/>
          </w:tcPr>
          <w:p w14:paraId="18457E54">
            <w:pPr>
              <w:spacing w:line="360" w:lineRule="auto"/>
              <w:jc w:val="center"/>
              <w:rPr>
                <w:rFonts w:hint="eastAsia" w:ascii="仿宋" w:hAnsi="仿宋" w:eastAsia="仿宋" w:cs="仿宋"/>
                <w:color w:val="000000"/>
                <w:szCs w:val="21"/>
                <w:highlight w:val="none"/>
              </w:rPr>
            </w:pPr>
          </w:p>
        </w:tc>
        <w:tc>
          <w:tcPr>
            <w:tcW w:w="1601" w:type="dxa"/>
            <w:noWrap w:val="0"/>
            <w:vAlign w:val="center"/>
          </w:tcPr>
          <w:p w14:paraId="6489B710">
            <w:pPr>
              <w:spacing w:line="360" w:lineRule="auto"/>
              <w:jc w:val="center"/>
              <w:rPr>
                <w:rFonts w:hint="eastAsia" w:ascii="仿宋" w:hAnsi="仿宋" w:eastAsia="仿宋" w:cs="仿宋"/>
                <w:color w:val="000000"/>
                <w:szCs w:val="21"/>
                <w:highlight w:val="none"/>
              </w:rPr>
            </w:pPr>
          </w:p>
        </w:tc>
        <w:tc>
          <w:tcPr>
            <w:tcW w:w="2024" w:type="dxa"/>
            <w:noWrap w:val="0"/>
            <w:vAlign w:val="center"/>
          </w:tcPr>
          <w:p w14:paraId="21288F9F">
            <w:pPr>
              <w:spacing w:line="360" w:lineRule="auto"/>
              <w:jc w:val="center"/>
              <w:rPr>
                <w:rFonts w:hint="eastAsia" w:ascii="仿宋" w:hAnsi="仿宋" w:eastAsia="仿宋" w:cs="仿宋"/>
                <w:color w:val="000000"/>
                <w:szCs w:val="21"/>
                <w:highlight w:val="none"/>
              </w:rPr>
            </w:pPr>
          </w:p>
        </w:tc>
      </w:tr>
      <w:tr w14:paraId="60540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jc w:val="center"/>
        </w:trPr>
        <w:tc>
          <w:tcPr>
            <w:tcW w:w="906" w:type="dxa"/>
            <w:noWrap w:val="0"/>
            <w:vAlign w:val="center"/>
          </w:tcPr>
          <w:p w14:paraId="15E712B8">
            <w:pPr>
              <w:spacing w:line="360" w:lineRule="auto"/>
              <w:jc w:val="center"/>
              <w:rPr>
                <w:rFonts w:hint="eastAsia" w:ascii="仿宋" w:hAnsi="仿宋" w:eastAsia="仿宋" w:cs="仿宋"/>
                <w:color w:val="000000"/>
                <w:szCs w:val="21"/>
                <w:highlight w:val="none"/>
              </w:rPr>
            </w:pPr>
          </w:p>
        </w:tc>
        <w:tc>
          <w:tcPr>
            <w:tcW w:w="2423" w:type="dxa"/>
            <w:noWrap w:val="0"/>
            <w:vAlign w:val="center"/>
          </w:tcPr>
          <w:p w14:paraId="28E3E1E3">
            <w:pPr>
              <w:spacing w:line="360" w:lineRule="auto"/>
              <w:jc w:val="center"/>
              <w:rPr>
                <w:rFonts w:hint="eastAsia" w:ascii="仿宋" w:hAnsi="仿宋" w:eastAsia="仿宋" w:cs="仿宋"/>
                <w:color w:val="000000"/>
                <w:szCs w:val="21"/>
                <w:highlight w:val="none"/>
              </w:rPr>
            </w:pPr>
          </w:p>
        </w:tc>
        <w:tc>
          <w:tcPr>
            <w:tcW w:w="1737" w:type="dxa"/>
            <w:noWrap w:val="0"/>
            <w:vAlign w:val="center"/>
          </w:tcPr>
          <w:p w14:paraId="73C61BA7">
            <w:pPr>
              <w:spacing w:line="360" w:lineRule="auto"/>
              <w:jc w:val="center"/>
              <w:rPr>
                <w:rFonts w:hint="eastAsia" w:ascii="仿宋" w:hAnsi="仿宋" w:eastAsia="仿宋" w:cs="仿宋"/>
                <w:color w:val="000000"/>
                <w:szCs w:val="21"/>
                <w:highlight w:val="none"/>
              </w:rPr>
            </w:pPr>
          </w:p>
        </w:tc>
        <w:tc>
          <w:tcPr>
            <w:tcW w:w="1486" w:type="dxa"/>
            <w:noWrap w:val="0"/>
            <w:vAlign w:val="center"/>
          </w:tcPr>
          <w:p w14:paraId="4F8D95E8">
            <w:pPr>
              <w:spacing w:line="360" w:lineRule="auto"/>
              <w:jc w:val="center"/>
              <w:rPr>
                <w:rFonts w:hint="eastAsia" w:ascii="仿宋" w:hAnsi="仿宋" w:eastAsia="仿宋" w:cs="仿宋"/>
                <w:color w:val="000000"/>
                <w:szCs w:val="21"/>
                <w:highlight w:val="none"/>
              </w:rPr>
            </w:pPr>
          </w:p>
        </w:tc>
        <w:tc>
          <w:tcPr>
            <w:tcW w:w="1601" w:type="dxa"/>
            <w:noWrap w:val="0"/>
            <w:vAlign w:val="center"/>
          </w:tcPr>
          <w:p w14:paraId="1C62E9B1">
            <w:pPr>
              <w:spacing w:line="360" w:lineRule="auto"/>
              <w:jc w:val="center"/>
              <w:rPr>
                <w:rFonts w:hint="eastAsia" w:ascii="仿宋" w:hAnsi="仿宋" w:eastAsia="仿宋" w:cs="仿宋"/>
                <w:color w:val="000000"/>
                <w:szCs w:val="21"/>
                <w:highlight w:val="none"/>
              </w:rPr>
            </w:pPr>
          </w:p>
        </w:tc>
        <w:tc>
          <w:tcPr>
            <w:tcW w:w="2024" w:type="dxa"/>
            <w:noWrap w:val="0"/>
            <w:vAlign w:val="center"/>
          </w:tcPr>
          <w:p w14:paraId="245CEDF9">
            <w:pPr>
              <w:spacing w:line="360" w:lineRule="auto"/>
              <w:jc w:val="center"/>
              <w:rPr>
                <w:rFonts w:hint="eastAsia" w:ascii="仿宋" w:hAnsi="仿宋" w:eastAsia="仿宋" w:cs="仿宋"/>
                <w:color w:val="000000"/>
                <w:szCs w:val="21"/>
                <w:highlight w:val="none"/>
              </w:rPr>
            </w:pPr>
          </w:p>
        </w:tc>
      </w:tr>
      <w:tr w14:paraId="35881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jc w:val="center"/>
        </w:trPr>
        <w:tc>
          <w:tcPr>
            <w:tcW w:w="906" w:type="dxa"/>
            <w:noWrap w:val="0"/>
            <w:vAlign w:val="center"/>
          </w:tcPr>
          <w:p w14:paraId="535BE8E9">
            <w:pPr>
              <w:spacing w:line="360" w:lineRule="auto"/>
              <w:jc w:val="center"/>
              <w:rPr>
                <w:rFonts w:hint="eastAsia" w:ascii="仿宋" w:hAnsi="仿宋" w:eastAsia="仿宋" w:cs="仿宋"/>
                <w:color w:val="000000"/>
                <w:szCs w:val="21"/>
                <w:highlight w:val="none"/>
              </w:rPr>
            </w:pPr>
          </w:p>
        </w:tc>
        <w:tc>
          <w:tcPr>
            <w:tcW w:w="2423" w:type="dxa"/>
            <w:noWrap w:val="0"/>
            <w:vAlign w:val="center"/>
          </w:tcPr>
          <w:p w14:paraId="725BE762">
            <w:pPr>
              <w:spacing w:line="360" w:lineRule="auto"/>
              <w:jc w:val="center"/>
              <w:rPr>
                <w:rFonts w:hint="eastAsia" w:ascii="仿宋" w:hAnsi="仿宋" w:eastAsia="仿宋" w:cs="仿宋"/>
                <w:color w:val="000000"/>
                <w:szCs w:val="21"/>
                <w:highlight w:val="none"/>
              </w:rPr>
            </w:pPr>
          </w:p>
        </w:tc>
        <w:tc>
          <w:tcPr>
            <w:tcW w:w="1737" w:type="dxa"/>
            <w:noWrap w:val="0"/>
            <w:vAlign w:val="center"/>
          </w:tcPr>
          <w:p w14:paraId="11BCFAC0">
            <w:pPr>
              <w:spacing w:line="360" w:lineRule="auto"/>
              <w:jc w:val="center"/>
              <w:rPr>
                <w:rFonts w:hint="eastAsia" w:ascii="仿宋" w:hAnsi="仿宋" w:eastAsia="仿宋" w:cs="仿宋"/>
                <w:color w:val="000000"/>
                <w:szCs w:val="21"/>
                <w:highlight w:val="none"/>
              </w:rPr>
            </w:pPr>
          </w:p>
        </w:tc>
        <w:tc>
          <w:tcPr>
            <w:tcW w:w="1486" w:type="dxa"/>
            <w:noWrap w:val="0"/>
            <w:vAlign w:val="center"/>
          </w:tcPr>
          <w:p w14:paraId="78A49579">
            <w:pPr>
              <w:spacing w:line="360" w:lineRule="auto"/>
              <w:jc w:val="center"/>
              <w:rPr>
                <w:rFonts w:hint="eastAsia" w:ascii="仿宋" w:hAnsi="仿宋" w:eastAsia="仿宋" w:cs="仿宋"/>
                <w:color w:val="000000"/>
                <w:szCs w:val="21"/>
                <w:highlight w:val="none"/>
              </w:rPr>
            </w:pPr>
          </w:p>
        </w:tc>
        <w:tc>
          <w:tcPr>
            <w:tcW w:w="1601" w:type="dxa"/>
            <w:noWrap w:val="0"/>
            <w:vAlign w:val="center"/>
          </w:tcPr>
          <w:p w14:paraId="0D28D5EC">
            <w:pPr>
              <w:spacing w:line="360" w:lineRule="auto"/>
              <w:jc w:val="center"/>
              <w:rPr>
                <w:rFonts w:hint="eastAsia" w:ascii="仿宋" w:hAnsi="仿宋" w:eastAsia="仿宋" w:cs="仿宋"/>
                <w:color w:val="000000"/>
                <w:szCs w:val="21"/>
                <w:highlight w:val="none"/>
              </w:rPr>
            </w:pPr>
          </w:p>
        </w:tc>
        <w:tc>
          <w:tcPr>
            <w:tcW w:w="2024" w:type="dxa"/>
            <w:noWrap w:val="0"/>
            <w:vAlign w:val="center"/>
          </w:tcPr>
          <w:p w14:paraId="7F86E564">
            <w:pPr>
              <w:spacing w:line="360" w:lineRule="auto"/>
              <w:jc w:val="center"/>
              <w:rPr>
                <w:rFonts w:hint="eastAsia" w:ascii="仿宋" w:hAnsi="仿宋" w:eastAsia="仿宋" w:cs="仿宋"/>
                <w:color w:val="000000"/>
                <w:szCs w:val="21"/>
                <w:highlight w:val="none"/>
              </w:rPr>
            </w:pPr>
          </w:p>
        </w:tc>
      </w:tr>
      <w:tr w14:paraId="706CE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jc w:val="center"/>
        </w:trPr>
        <w:tc>
          <w:tcPr>
            <w:tcW w:w="906" w:type="dxa"/>
            <w:noWrap w:val="0"/>
            <w:vAlign w:val="center"/>
          </w:tcPr>
          <w:p w14:paraId="28A8F8A9">
            <w:pPr>
              <w:spacing w:line="360" w:lineRule="auto"/>
              <w:jc w:val="center"/>
              <w:rPr>
                <w:rFonts w:hint="eastAsia" w:ascii="仿宋" w:hAnsi="仿宋" w:eastAsia="仿宋" w:cs="仿宋"/>
                <w:color w:val="000000"/>
                <w:szCs w:val="21"/>
                <w:highlight w:val="none"/>
              </w:rPr>
            </w:pPr>
          </w:p>
        </w:tc>
        <w:tc>
          <w:tcPr>
            <w:tcW w:w="2423" w:type="dxa"/>
            <w:noWrap w:val="0"/>
            <w:vAlign w:val="center"/>
          </w:tcPr>
          <w:p w14:paraId="09AE3D27">
            <w:pPr>
              <w:spacing w:line="360" w:lineRule="auto"/>
              <w:jc w:val="center"/>
              <w:rPr>
                <w:rFonts w:hint="eastAsia" w:ascii="仿宋" w:hAnsi="仿宋" w:eastAsia="仿宋" w:cs="仿宋"/>
                <w:color w:val="000000"/>
                <w:szCs w:val="21"/>
                <w:highlight w:val="none"/>
              </w:rPr>
            </w:pPr>
          </w:p>
        </w:tc>
        <w:tc>
          <w:tcPr>
            <w:tcW w:w="1737" w:type="dxa"/>
            <w:noWrap w:val="0"/>
            <w:vAlign w:val="center"/>
          </w:tcPr>
          <w:p w14:paraId="784730B2">
            <w:pPr>
              <w:spacing w:line="360" w:lineRule="auto"/>
              <w:jc w:val="center"/>
              <w:rPr>
                <w:rFonts w:hint="eastAsia" w:ascii="仿宋" w:hAnsi="仿宋" w:eastAsia="仿宋" w:cs="仿宋"/>
                <w:color w:val="000000"/>
                <w:szCs w:val="21"/>
                <w:highlight w:val="none"/>
              </w:rPr>
            </w:pPr>
          </w:p>
        </w:tc>
        <w:tc>
          <w:tcPr>
            <w:tcW w:w="1486" w:type="dxa"/>
            <w:noWrap w:val="0"/>
            <w:vAlign w:val="center"/>
          </w:tcPr>
          <w:p w14:paraId="597CBFDF">
            <w:pPr>
              <w:spacing w:line="360" w:lineRule="auto"/>
              <w:jc w:val="center"/>
              <w:rPr>
                <w:rFonts w:hint="eastAsia" w:ascii="仿宋" w:hAnsi="仿宋" w:eastAsia="仿宋" w:cs="仿宋"/>
                <w:color w:val="000000"/>
                <w:szCs w:val="21"/>
                <w:highlight w:val="none"/>
              </w:rPr>
            </w:pPr>
          </w:p>
        </w:tc>
        <w:tc>
          <w:tcPr>
            <w:tcW w:w="1601" w:type="dxa"/>
            <w:noWrap w:val="0"/>
            <w:vAlign w:val="center"/>
          </w:tcPr>
          <w:p w14:paraId="4953AC37">
            <w:pPr>
              <w:spacing w:line="360" w:lineRule="auto"/>
              <w:jc w:val="center"/>
              <w:rPr>
                <w:rFonts w:hint="eastAsia" w:ascii="仿宋" w:hAnsi="仿宋" w:eastAsia="仿宋" w:cs="仿宋"/>
                <w:color w:val="000000"/>
                <w:szCs w:val="21"/>
                <w:highlight w:val="none"/>
              </w:rPr>
            </w:pPr>
          </w:p>
        </w:tc>
        <w:tc>
          <w:tcPr>
            <w:tcW w:w="2024" w:type="dxa"/>
            <w:noWrap w:val="0"/>
            <w:vAlign w:val="center"/>
          </w:tcPr>
          <w:p w14:paraId="24AD0B66">
            <w:pPr>
              <w:spacing w:line="360" w:lineRule="auto"/>
              <w:jc w:val="center"/>
              <w:rPr>
                <w:rFonts w:hint="eastAsia" w:ascii="仿宋" w:hAnsi="仿宋" w:eastAsia="仿宋" w:cs="仿宋"/>
                <w:color w:val="000000"/>
                <w:szCs w:val="21"/>
                <w:highlight w:val="none"/>
              </w:rPr>
            </w:pPr>
          </w:p>
        </w:tc>
      </w:tr>
      <w:tr w14:paraId="712EE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1" w:hRule="atLeast"/>
          <w:jc w:val="center"/>
        </w:trPr>
        <w:tc>
          <w:tcPr>
            <w:tcW w:w="906" w:type="dxa"/>
            <w:noWrap w:val="0"/>
            <w:vAlign w:val="center"/>
          </w:tcPr>
          <w:p w14:paraId="2AECB46B">
            <w:pPr>
              <w:spacing w:line="360" w:lineRule="auto"/>
              <w:jc w:val="center"/>
              <w:rPr>
                <w:rFonts w:hint="eastAsia" w:ascii="仿宋" w:hAnsi="仿宋" w:eastAsia="仿宋" w:cs="仿宋"/>
                <w:color w:val="000000"/>
                <w:szCs w:val="21"/>
                <w:highlight w:val="none"/>
              </w:rPr>
            </w:pPr>
          </w:p>
        </w:tc>
        <w:tc>
          <w:tcPr>
            <w:tcW w:w="2423" w:type="dxa"/>
            <w:noWrap w:val="0"/>
            <w:vAlign w:val="center"/>
          </w:tcPr>
          <w:p w14:paraId="32CB760E">
            <w:pPr>
              <w:spacing w:line="360" w:lineRule="auto"/>
              <w:jc w:val="center"/>
              <w:rPr>
                <w:rFonts w:hint="eastAsia" w:ascii="仿宋" w:hAnsi="仿宋" w:eastAsia="仿宋" w:cs="仿宋"/>
                <w:color w:val="000000"/>
                <w:szCs w:val="21"/>
                <w:highlight w:val="none"/>
              </w:rPr>
            </w:pPr>
          </w:p>
        </w:tc>
        <w:tc>
          <w:tcPr>
            <w:tcW w:w="1737" w:type="dxa"/>
            <w:noWrap w:val="0"/>
            <w:vAlign w:val="center"/>
          </w:tcPr>
          <w:p w14:paraId="5DD5DBAA">
            <w:pPr>
              <w:spacing w:line="360" w:lineRule="auto"/>
              <w:jc w:val="center"/>
              <w:rPr>
                <w:rFonts w:hint="eastAsia" w:ascii="仿宋" w:hAnsi="仿宋" w:eastAsia="仿宋" w:cs="仿宋"/>
                <w:color w:val="000000"/>
                <w:szCs w:val="21"/>
                <w:highlight w:val="none"/>
              </w:rPr>
            </w:pPr>
          </w:p>
        </w:tc>
        <w:tc>
          <w:tcPr>
            <w:tcW w:w="1486" w:type="dxa"/>
            <w:noWrap w:val="0"/>
            <w:vAlign w:val="center"/>
          </w:tcPr>
          <w:p w14:paraId="112D9DCF">
            <w:pPr>
              <w:spacing w:line="360" w:lineRule="auto"/>
              <w:jc w:val="center"/>
              <w:rPr>
                <w:rFonts w:hint="eastAsia" w:ascii="仿宋" w:hAnsi="仿宋" w:eastAsia="仿宋" w:cs="仿宋"/>
                <w:color w:val="000000"/>
                <w:szCs w:val="21"/>
                <w:highlight w:val="none"/>
              </w:rPr>
            </w:pPr>
          </w:p>
        </w:tc>
        <w:tc>
          <w:tcPr>
            <w:tcW w:w="1601" w:type="dxa"/>
            <w:noWrap w:val="0"/>
            <w:vAlign w:val="center"/>
          </w:tcPr>
          <w:p w14:paraId="4C9DCA8A">
            <w:pPr>
              <w:spacing w:line="360" w:lineRule="auto"/>
              <w:jc w:val="center"/>
              <w:rPr>
                <w:rFonts w:hint="eastAsia" w:ascii="仿宋" w:hAnsi="仿宋" w:eastAsia="仿宋" w:cs="仿宋"/>
                <w:color w:val="000000"/>
                <w:szCs w:val="21"/>
                <w:highlight w:val="none"/>
              </w:rPr>
            </w:pPr>
          </w:p>
        </w:tc>
        <w:tc>
          <w:tcPr>
            <w:tcW w:w="2024" w:type="dxa"/>
            <w:noWrap w:val="0"/>
            <w:vAlign w:val="center"/>
          </w:tcPr>
          <w:p w14:paraId="6249F5AA">
            <w:pPr>
              <w:spacing w:line="360" w:lineRule="auto"/>
              <w:jc w:val="center"/>
              <w:rPr>
                <w:rFonts w:hint="eastAsia" w:ascii="仿宋" w:hAnsi="仿宋" w:eastAsia="仿宋" w:cs="仿宋"/>
                <w:color w:val="000000"/>
                <w:szCs w:val="21"/>
                <w:highlight w:val="none"/>
              </w:rPr>
            </w:pPr>
          </w:p>
        </w:tc>
      </w:tr>
      <w:tr w14:paraId="0DE0C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4" w:hRule="atLeast"/>
          <w:jc w:val="center"/>
        </w:trPr>
        <w:tc>
          <w:tcPr>
            <w:tcW w:w="5066" w:type="dxa"/>
            <w:gridSpan w:val="3"/>
            <w:noWrap w:val="0"/>
            <w:vAlign w:val="center"/>
          </w:tcPr>
          <w:p w14:paraId="658B8388">
            <w:pPr>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总报价</w:t>
            </w:r>
          </w:p>
        </w:tc>
        <w:tc>
          <w:tcPr>
            <w:tcW w:w="5111" w:type="dxa"/>
            <w:gridSpan w:val="3"/>
            <w:noWrap w:val="0"/>
            <w:vAlign w:val="center"/>
          </w:tcPr>
          <w:p w14:paraId="24C2180B">
            <w:pPr>
              <w:spacing w:line="360" w:lineRule="auto"/>
              <w:rPr>
                <w:rFonts w:hint="eastAsia" w:ascii="仿宋" w:hAnsi="仿宋" w:eastAsia="仿宋" w:cs="仿宋"/>
                <w:color w:val="000000"/>
                <w:szCs w:val="21"/>
                <w:highlight w:val="none"/>
              </w:rPr>
            </w:pPr>
            <w:r>
              <w:rPr>
                <w:rFonts w:hint="eastAsia" w:ascii="仿宋" w:hAnsi="仿宋" w:eastAsia="仿宋" w:cs="仿宋"/>
                <w:color w:val="000000"/>
                <w:highlight w:val="none"/>
              </w:rPr>
              <w:t>人民币（大写）：圆整</w:t>
            </w:r>
          </w:p>
          <w:p w14:paraId="54AF9423">
            <w:pPr>
              <w:spacing w:line="360"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highlight w:val="none"/>
              </w:rPr>
              <w:t>￥：</w:t>
            </w:r>
          </w:p>
        </w:tc>
      </w:tr>
    </w:tbl>
    <w:p w14:paraId="435AE042">
      <w:pPr>
        <w:spacing w:line="360" w:lineRule="auto"/>
        <w:rPr>
          <w:rFonts w:hint="eastAsia" w:ascii="仿宋" w:hAnsi="仿宋" w:eastAsia="仿宋" w:cs="仿宋"/>
          <w:color w:val="000000"/>
          <w:highlight w:val="none"/>
          <w:lang w:eastAsia="zh-CN"/>
        </w:rPr>
      </w:pPr>
    </w:p>
    <w:p w14:paraId="6D5BBD99">
      <w:pPr>
        <w:spacing w:line="360" w:lineRule="auto"/>
        <w:jc w:val="right"/>
        <w:rPr>
          <w:rFonts w:hint="eastAsia" w:ascii="仿宋" w:hAnsi="仿宋" w:eastAsia="仿宋" w:cs="仿宋"/>
          <w:color w:val="000000"/>
          <w:highlight w:val="none"/>
        </w:rPr>
      </w:pPr>
      <w:r>
        <w:rPr>
          <w:rFonts w:hint="eastAsia" w:ascii="仿宋" w:hAnsi="仿宋" w:eastAsia="仿宋" w:cs="仿宋"/>
          <w:color w:val="000000"/>
          <w:highlight w:val="none"/>
        </w:rPr>
        <w:t>日期：年月日</w:t>
      </w:r>
    </w:p>
    <w:p w14:paraId="3FFDEB6D">
      <w:pPr>
        <w:spacing w:line="360" w:lineRule="auto"/>
        <w:jc w:val="right"/>
        <w:rPr>
          <w:rFonts w:hint="eastAsia" w:ascii="仿宋" w:hAnsi="仿宋" w:eastAsia="仿宋" w:cs="仿宋"/>
          <w:color w:val="000000"/>
        </w:rPr>
      </w:pPr>
      <w:r>
        <w:rPr>
          <w:rFonts w:hint="eastAsia" w:ascii="仿宋" w:hAnsi="仿宋" w:eastAsia="仿宋" w:cs="仿宋"/>
          <w:color w:val="000000"/>
          <w:szCs w:val="21"/>
          <w:highlight w:val="none"/>
        </w:rPr>
        <w:t>注：行数不够，可自行添加。</w:t>
      </w:r>
    </w:p>
    <w:p w14:paraId="7BFAFA62">
      <w:pPr>
        <w:spacing w:line="360" w:lineRule="auto"/>
        <w:jc w:val="center"/>
        <w:rPr>
          <w:rFonts w:hint="eastAsia" w:ascii="仿宋" w:hAnsi="仿宋" w:eastAsia="仿宋" w:cs="仿宋"/>
          <w:b/>
          <w:bCs/>
          <w:sz w:val="32"/>
          <w:szCs w:val="32"/>
        </w:rPr>
      </w:pPr>
      <w:r>
        <w:rPr>
          <w:rFonts w:hint="eastAsia" w:ascii="仿宋" w:hAnsi="仿宋" w:eastAsia="仿宋" w:cs="仿宋"/>
          <w:bCs/>
        </w:rPr>
        <w:br w:type="page" w:clear="all"/>
      </w:r>
      <w:r>
        <w:rPr>
          <w:rFonts w:hint="eastAsia" w:ascii="仿宋" w:hAnsi="仿宋" w:eastAsia="仿宋" w:cs="仿宋"/>
          <w:b/>
          <w:bCs/>
          <w:sz w:val="32"/>
          <w:szCs w:val="32"/>
        </w:rPr>
        <w:t>五、技术参数响应及偏离表</w:t>
      </w:r>
      <w:bookmarkEnd w:id="98"/>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852"/>
        <w:gridCol w:w="2852"/>
        <w:gridCol w:w="1308"/>
        <w:gridCol w:w="1173"/>
      </w:tblGrid>
      <w:tr w14:paraId="4FF48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84" w:type="dxa"/>
            <w:noWrap w:val="0"/>
            <w:vAlign w:val="center"/>
          </w:tcPr>
          <w:p w14:paraId="72CBDE49">
            <w:pPr>
              <w:spacing w:line="360" w:lineRule="auto"/>
              <w:jc w:val="center"/>
              <w:rPr>
                <w:rFonts w:hint="eastAsia" w:ascii="仿宋" w:hAnsi="仿宋" w:eastAsia="仿宋" w:cs="仿宋"/>
                <w:szCs w:val="21"/>
              </w:rPr>
            </w:pPr>
            <w:r>
              <w:rPr>
                <w:rFonts w:hint="eastAsia" w:ascii="仿宋" w:hAnsi="仿宋" w:eastAsia="仿宋" w:cs="仿宋"/>
                <w:szCs w:val="21"/>
              </w:rPr>
              <w:t>序号</w:t>
            </w:r>
          </w:p>
        </w:tc>
        <w:tc>
          <w:tcPr>
            <w:tcW w:w="2852" w:type="dxa"/>
            <w:noWrap w:val="0"/>
            <w:vAlign w:val="center"/>
          </w:tcPr>
          <w:p w14:paraId="6F436D17">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采购要求</w:t>
            </w:r>
          </w:p>
        </w:tc>
        <w:tc>
          <w:tcPr>
            <w:tcW w:w="2852" w:type="dxa"/>
            <w:noWrap w:val="0"/>
            <w:vAlign w:val="center"/>
          </w:tcPr>
          <w:p w14:paraId="353B38F5">
            <w:pPr>
              <w:spacing w:line="360" w:lineRule="auto"/>
              <w:jc w:val="center"/>
              <w:rPr>
                <w:rFonts w:hint="eastAsia" w:ascii="仿宋" w:hAnsi="仿宋" w:eastAsia="仿宋" w:cs="仿宋"/>
                <w:szCs w:val="21"/>
                <w:highlight w:val="none"/>
              </w:rPr>
            </w:pPr>
            <w:r>
              <w:rPr>
                <w:rFonts w:hint="eastAsia" w:ascii="仿宋" w:hAnsi="仿宋" w:eastAsia="仿宋" w:cs="仿宋"/>
                <w:szCs w:val="21"/>
                <w:highlight w:val="none"/>
              </w:rPr>
              <w:t>磋商响应</w:t>
            </w:r>
          </w:p>
        </w:tc>
        <w:tc>
          <w:tcPr>
            <w:tcW w:w="1308" w:type="dxa"/>
            <w:noWrap w:val="0"/>
            <w:vAlign w:val="center"/>
          </w:tcPr>
          <w:p w14:paraId="7F7AB832">
            <w:pPr>
              <w:spacing w:line="360" w:lineRule="auto"/>
              <w:jc w:val="center"/>
              <w:rPr>
                <w:rFonts w:hint="eastAsia" w:ascii="仿宋" w:hAnsi="仿宋" w:eastAsia="仿宋" w:cs="仿宋"/>
                <w:szCs w:val="21"/>
              </w:rPr>
            </w:pPr>
            <w:r>
              <w:rPr>
                <w:rFonts w:hint="eastAsia" w:ascii="仿宋" w:hAnsi="仿宋" w:eastAsia="仿宋" w:cs="仿宋"/>
                <w:szCs w:val="21"/>
              </w:rPr>
              <w:t>超出、符合或偏离</w:t>
            </w:r>
          </w:p>
        </w:tc>
        <w:tc>
          <w:tcPr>
            <w:tcW w:w="1173" w:type="dxa"/>
            <w:noWrap w:val="0"/>
            <w:vAlign w:val="center"/>
          </w:tcPr>
          <w:p w14:paraId="2E229BCA">
            <w:pPr>
              <w:spacing w:line="360" w:lineRule="auto"/>
              <w:jc w:val="center"/>
              <w:rPr>
                <w:rFonts w:hint="eastAsia" w:ascii="仿宋" w:hAnsi="仿宋" w:eastAsia="仿宋" w:cs="仿宋"/>
                <w:szCs w:val="21"/>
              </w:rPr>
            </w:pPr>
            <w:r>
              <w:rPr>
                <w:rFonts w:hint="eastAsia" w:ascii="仿宋" w:hAnsi="仿宋" w:eastAsia="仿宋" w:cs="仿宋"/>
                <w:szCs w:val="21"/>
              </w:rPr>
              <w:t>证明材料</w:t>
            </w:r>
          </w:p>
        </w:tc>
      </w:tr>
      <w:tr w14:paraId="1E2A6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5184FE03">
            <w:pPr>
              <w:spacing w:line="360" w:lineRule="auto"/>
              <w:jc w:val="center"/>
              <w:rPr>
                <w:rFonts w:hint="eastAsia" w:ascii="仿宋" w:hAnsi="仿宋" w:eastAsia="仿宋" w:cs="仿宋"/>
                <w:szCs w:val="21"/>
              </w:rPr>
            </w:pPr>
          </w:p>
        </w:tc>
        <w:tc>
          <w:tcPr>
            <w:tcW w:w="2852" w:type="dxa"/>
            <w:noWrap w:val="0"/>
            <w:vAlign w:val="top"/>
          </w:tcPr>
          <w:p w14:paraId="032B2F90">
            <w:pPr>
              <w:spacing w:line="360" w:lineRule="auto"/>
              <w:jc w:val="center"/>
              <w:rPr>
                <w:rFonts w:hint="eastAsia" w:ascii="仿宋" w:hAnsi="仿宋" w:eastAsia="仿宋" w:cs="仿宋"/>
                <w:szCs w:val="21"/>
              </w:rPr>
            </w:pPr>
          </w:p>
        </w:tc>
        <w:tc>
          <w:tcPr>
            <w:tcW w:w="2852" w:type="dxa"/>
            <w:noWrap w:val="0"/>
            <w:vAlign w:val="top"/>
          </w:tcPr>
          <w:p w14:paraId="2F4CF057">
            <w:pPr>
              <w:spacing w:line="360" w:lineRule="auto"/>
              <w:jc w:val="center"/>
              <w:rPr>
                <w:rFonts w:hint="eastAsia" w:ascii="仿宋" w:hAnsi="仿宋" w:eastAsia="仿宋" w:cs="仿宋"/>
                <w:szCs w:val="21"/>
              </w:rPr>
            </w:pPr>
          </w:p>
        </w:tc>
        <w:tc>
          <w:tcPr>
            <w:tcW w:w="1308" w:type="dxa"/>
            <w:noWrap w:val="0"/>
            <w:vAlign w:val="top"/>
          </w:tcPr>
          <w:p w14:paraId="25255AFB">
            <w:pPr>
              <w:spacing w:line="360" w:lineRule="auto"/>
              <w:jc w:val="center"/>
              <w:rPr>
                <w:rFonts w:hint="eastAsia" w:ascii="仿宋" w:hAnsi="仿宋" w:eastAsia="仿宋" w:cs="仿宋"/>
                <w:szCs w:val="21"/>
              </w:rPr>
            </w:pPr>
          </w:p>
        </w:tc>
        <w:tc>
          <w:tcPr>
            <w:tcW w:w="1173" w:type="dxa"/>
            <w:noWrap w:val="0"/>
            <w:vAlign w:val="top"/>
          </w:tcPr>
          <w:p w14:paraId="085B7F26">
            <w:pPr>
              <w:spacing w:line="360" w:lineRule="auto"/>
              <w:jc w:val="center"/>
              <w:rPr>
                <w:rFonts w:hint="eastAsia" w:ascii="仿宋" w:hAnsi="仿宋" w:eastAsia="仿宋" w:cs="仿宋"/>
                <w:szCs w:val="21"/>
              </w:rPr>
            </w:pPr>
          </w:p>
        </w:tc>
      </w:tr>
      <w:tr w14:paraId="47876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58EC1B68">
            <w:pPr>
              <w:spacing w:line="360" w:lineRule="auto"/>
              <w:jc w:val="center"/>
              <w:rPr>
                <w:rFonts w:hint="eastAsia" w:ascii="仿宋" w:hAnsi="仿宋" w:eastAsia="仿宋" w:cs="仿宋"/>
                <w:szCs w:val="21"/>
              </w:rPr>
            </w:pPr>
          </w:p>
        </w:tc>
        <w:tc>
          <w:tcPr>
            <w:tcW w:w="2852" w:type="dxa"/>
            <w:noWrap w:val="0"/>
            <w:vAlign w:val="top"/>
          </w:tcPr>
          <w:p w14:paraId="68AC7ECF">
            <w:pPr>
              <w:spacing w:line="360" w:lineRule="auto"/>
              <w:jc w:val="center"/>
              <w:rPr>
                <w:rFonts w:hint="eastAsia" w:ascii="仿宋" w:hAnsi="仿宋" w:eastAsia="仿宋" w:cs="仿宋"/>
                <w:szCs w:val="21"/>
              </w:rPr>
            </w:pPr>
          </w:p>
        </w:tc>
        <w:tc>
          <w:tcPr>
            <w:tcW w:w="2852" w:type="dxa"/>
            <w:noWrap w:val="0"/>
            <w:vAlign w:val="top"/>
          </w:tcPr>
          <w:p w14:paraId="5E07C8FE">
            <w:pPr>
              <w:spacing w:line="360" w:lineRule="auto"/>
              <w:jc w:val="center"/>
              <w:rPr>
                <w:rFonts w:hint="eastAsia" w:ascii="仿宋" w:hAnsi="仿宋" w:eastAsia="仿宋" w:cs="仿宋"/>
                <w:szCs w:val="21"/>
              </w:rPr>
            </w:pPr>
          </w:p>
        </w:tc>
        <w:tc>
          <w:tcPr>
            <w:tcW w:w="1308" w:type="dxa"/>
            <w:noWrap w:val="0"/>
            <w:vAlign w:val="top"/>
          </w:tcPr>
          <w:p w14:paraId="1C34CDDE">
            <w:pPr>
              <w:spacing w:line="360" w:lineRule="auto"/>
              <w:jc w:val="center"/>
              <w:rPr>
                <w:rFonts w:hint="eastAsia" w:ascii="仿宋" w:hAnsi="仿宋" w:eastAsia="仿宋" w:cs="仿宋"/>
                <w:szCs w:val="21"/>
              </w:rPr>
            </w:pPr>
          </w:p>
        </w:tc>
        <w:tc>
          <w:tcPr>
            <w:tcW w:w="1173" w:type="dxa"/>
            <w:noWrap w:val="0"/>
            <w:vAlign w:val="top"/>
          </w:tcPr>
          <w:p w14:paraId="79B1986A">
            <w:pPr>
              <w:spacing w:line="360" w:lineRule="auto"/>
              <w:jc w:val="center"/>
              <w:rPr>
                <w:rFonts w:hint="eastAsia" w:ascii="仿宋" w:hAnsi="仿宋" w:eastAsia="仿宋" w:cs="仿宋"/>
                <w:szCs w:val="21"/>
              </w:rPr>
            </w:pPr>
          </w:p>
        </w:tc>
      </w:tr>
      <w:tr w14:paraId="318BD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545B309F">
            <w:pPr>
              <w:spacing w:line="360" w:lineRule="auto"/>
              <w:jc w:val="center"/>
              <w:rPr>
                <w:rFonts w:hint="eastAsia" w:ascii="仿宋" w:hAnsi="仿宋" w:eastAsia="仿宋" w:cs="仿宋"/>
                <w:szCs w:val="21"/>
              </w:rPr>
            </w:pPr>
          </w:p>
        </w:tc>
        <w:tc>
          <w:tcPr>
            <w:tcW w:w="2852" w:type="dxa"/>
            <w:noWrap w:val="0"/>
            <w:vAlign w:val="top"/>
          </w:tcPr>
          <w:p w14:paraId="4CFF8B56">
            <w:pPr>
              <w:spacing w:line="360" w:lineRule="auto"/>
              <w:jc w:val="center"/>
              <w:rPr>
                <w:rFonts w:hint="eastAsia" w:ascii="仿宋" w:hAnsi="仿宋" w:eastAsia="仿宋" w:cs="仿宋"/>
                <w:szCs w:val="21"/>
              </w:rPr>
            </w:pPr>
          </w:p>
        </w:tc>
        <w:tc>
          <w:tcPr>
            <w:tcW w:w="2852" w:type="dxa"/>
            <w:noWrap w:val="0"/>
            <w:vAlign w:val="top"/>
          </w:tcPr>
          <w:p w14:paraId="41652D0E">
            <w:pPr>
              <w:spacing w:line="360" w:lineRule="auto"/>
              <w:jc w:val="center"/>
              <w:rPr>
                <w:rFonts w:hint="eastAsia" w:ascii="仿宋" w:hAnsi="仿宋" w:eastAsia="仿宋" w:cs="仿宋"/>
                <w:szCs w:val="21"/>
              </w:rPr>
            </w:pPr>
          </w:p>
        </w:tc>
        <w:tc>
          <w:tcPr>
            <w:tcW w:w="1308" w:type="dxa"/>
            <w:noWrap w:val="0"/>
            <w:vAlign w:val="top"/>
          </w:tcPr>
          <w:p w14:paraId="31435D4D">
            <w:pPr>
              <w:spacing w:line="360" w:lineRule="auto"/>
              <w:jc w:val="center"/>
              <w:rPr>
                <w:rFonts w:hint="eastAsia" w:ascii="仿宋" w:hAnsi="仿宋" w:eastAsia="仿宋" w:cs="仿宋"/>
                <w:szCs w:val="21"/>
              </w:rPr>
            </w:pPr>
          </w:p>
        </w:tc>
        <w:tc>
          <w:tcPr>
            <w:tcW w:w="1173" w:type="dxa"/>
            <w:noWrap w:val="0"/>
            <w:vAlign w:val="top"/>
          </w:tcPr>
          <w:p w14:paraId="389CE011">
            <w:pPr>
              <w:spacing w:line="360" w:lineRule="auto"/>
              <w:jc w:val="center"/>
              <w:rPr>
                <w:rFonts w:hint="eastAsia" w:ascii="仿宋" w:hAnsi="仿宋" w:eastAsia="仿宋" w:cs="仿宋"/>
                <w:szCs w:val="21"/>
              </w:rPr>
            </w:pPr>
          </w:p>
        </w:tc>
      </w:tr>
      <w:tr w14:paraId="10C2C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03926579">
            <w:pPr>
              <w:spacing w:line="360" w:lineRule="auto"/>
              <w:jc w:val="center"/>
              <w:rPr>
                <w:rFonts w:hint="eastAsia" w:ascii="仿宋" w:hAnsi="仿宋" w:eastAsia="仿宋" w:cs="仿宋"/>
                <w:szCs w:val="21"/>
              </w:rPr>
            </w:pPr>
          </w:p>
        </w:tc>
        <w:tc>
          <w:tcPr>
            <w:tcW w:w="2852" w:type="dxa"/>
            <w:noWrap w:val="0"/>
            <w:vAlign w:val="top"/>
          </w:tcPr>
          <w:p w14:paraId="5AD0D748">
            <w:pPr>
              <w:spacing w:line="360" w:lineRule="auto"/>
              <w:jc w:val="center"/>
              <w:rPr>
                <w:rFonts w:hint="eastAsia" w:ascii="仿宋" w:hAnsi="仿宋" w:eastAsia="仿宋" w:cs="仿宋"/>
                <w:szCs w:val="21"/>
              </w:rPr>
            </w:pPr>
          </w:p>
        </w:tc>
        <w:tc>
          <w:tcPr>
            <w:tcW w:w="2852" w:type="dxa"/>
            <w:noWrap w:val="0"/>
            <w:vAlign w:val="top"/>
          </w:tcPr>
          <w:p w14:paraId="59EA3678">
            <w:pPr>
              <w:spacing w:line="360" w:lineRule="auto"/>
              <w:jc w:val="center"/>
              <w:rPr>
                <w:rFonts w:hint="eastAsia" w:ascii="仿宋" w:hAnsi="仿宋" w:eastAsia="仿宋" w:cs="仿宋"/>
                <w:szCs w:val="21"/>
              </w:rPr>
            </w:pPr>
          </w:p>
        </w:tc>
        <w:tc>
          <w:tcPr>
            <w:tcW w:w="1308" w:type="dxa"/>
            <w:noWrap w:val="0"/>
            <w:vAlign w:val="top"/>
          </w:tcPr>
          <w:p w14:paraId="172B5433">
            <w:pPr>
              <w:spacing w:line="360" w:lineRule="auto"/>
              <w:jc w:val="center"/>
              <w:rPr>
                <w:rFonts w:hint="eastAsia" w:ascii="仿宋" w:hAnsi="仿宋" w:eastAsia="仿宋" w:cs="仿宋"/>
                <w:szCs w:val="21"/>
              </w:rPr>
            </w:pPr>
          </w:p>
        </w:tc>
        <w:tc>
          <w:tcPr>
            <w:tcW w:w="1173" w:type="dxa"/>
            <w:noWrap w:val="0"/>
            <w:vAlign w:val="top"/>
          </w:tcPr>
          <w:p w14:paraId="5C78BCE2">
            <w:pPr>
              <w:spacing w:line="360" w:lineRule="auto"/>
              <w:jc w:val="center"/>
              <w:rPr>
                <w:rFonts w:hint="eastAsia" w:ascii="仿宋" w:hAnsi="仿宋" w:eastAsia="仿宋" w:cs="仿宋"/>
                <w:szCs w:val="21"/>
              </w:rPr>
            </w:pPr>
          </w:p>
        </w:tc>
      </w:tr>
      <w:tr w14:paraId="3AE9C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5021A564">
            <w:pPr>
              <w:spacing w:line="360" w:lineRule="auto"/>
              <w:jc w:val="center"/>
              <w:rPr>
                <w:rFonts w:hint="eastAsia" w:ascii="仿宋" w:hAnsi="仿宋" w:eastAsia="仿宋" w:cs="仿宋"/>
                <w:szCs w:val="21"/>
              </w:rPr>
            </w:pPr>
          </w:p>
        </w:tc>
        <w:tc>
          <w:tcPr>
            <w:tcW w:w="2852" w:type="dxa"/>
            <w:noWrap w:val="0"/>
            <w:vAlign w:val="top"/>
          </w:tcPr>
          <w:p w14:paraId="6686A79F">
            <w:pPr>
              <w:spacing w:line="360" w:lineRule="auto"/>
              <w:jc w:val="center"/>
              <w:rPr>
                <w:rFonts w:hint="eastAsia" w:ascii="仿宋" w:hAnsi="仿宋" w:eastAsia="仿宋" w:cs="仿宋"/>
                <w:szCs w:val="21"/>
              </w:rPr>
            </w:pPr>
          </w:p>
        </w:tc>
        <w:tc>
          <w:tcPr>
            <w:tcW w:w="2852" w:type="dxa"/>
            <w:noWrap w:val="0"/>
            <w:vAlign w:val="top"/>
          </w:tcPr>
          <w:p w14:paraId="0EE34B24">
            <w:pPr>
              <w:spacing w:line="360" w:lineRule="auto"/>
              <w:jc w:val="center"/>
              <w:rPr>
                <w:rFonts w:hint="eastAsia" w:ascii="仿宋" w:hAnsi="仿宋" w:eastAsia="仿宋" w:cs="仿宋"/>
                <w:szCs w:val="21"/>
              </w:rPr>
            </w:pPr>
          </w:p>
        </w:tc>
        <w:tc>
          <w:tcPr>
            <w:tcW w:w="1308" w:type="dxa"/>
            <w:noWrap w:val="0"/>
            <w:vAlign w:val="top"/>
          </w:tcPr>
          <w:p w14:paraId="7767F44F">
            <w:pPr>
              <w:spacing w:line="360" w:lineRule="auto"/>
              <w:jc w:val="center"/>
              <w:rPr>
                <w:rFonts w:hint="eastAsia" w:ascii="仿宋" w:hAnsi="仿宋" w:eastAsia="仿宋" w:cs="仿宋"/>
                <w:szCs w:val="21"/>
              </w:rPr>
            </w:pPr>
          </w:p>
        </w:tc>
        <w:tc>
          <w:tcPr>
            <w:tcW w:w="1173" w:type="dxa"/>
            <w:noWrap w:val="0"/>
            <w:vAlign w:val="top"/>
          </w:tcPr>
          <w:p w14:paraId="0B2417C1">
            <w:pPr>
              <w:spacing w:line="360" w:lineRule="auto"/>
              <w:jc w:val="center"/>
              <w:rPr>
                <w:rFonts w:hint="eastAsia" w:ascii="仿宋" w:hAnsi="仿宋" w:eastAsia="仿宋" w:cs="仿宋"/>
                <w:szCs w:val="21"/>
              </w:rPr>
            </w:pPr>
          </w:p>
        </w:tc>
      </w:tr>
      <w:tr w14:paraId="4F81A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3CB5D4F9">
            <w:pPr>
              <w:spacing w:line="360" w:lineRule="auto"/>
              <w:jc w:val="center"/>
              <w:rPr>
                <w:rFonts w:hint="eastAsia" w:ascii="仿宋" w:hAnsi="仿宋" w:eastAsia="仿宋" w:cs="仿宋"/>
                <w:szCs w:val="21"/>
              </w:rPr>
            </w:pPr>
          </w:p>
        </w:tc>
        <w:tc>
          <w:tcPr>
            <w:tcW w:w="2852" w:type="dxa"/>
            <w:noWrap w:val="0"/>
            <w:vAlign w:val="top"/>
          </w:tcPr>
          <w:p w14:paraId="7EB7364E">
            <w:pPr>
              <w:spacing w:line="360" w:lineRule="auto"/>
              <w:jc w:val="center"/>
              <w:rPr>
                <w:rFonts w:hint="eastAsia" w:ascii="仿宋" w:hAnsi="仿宋" w:eastAsia="仿宋" w:cs="仿宋"/>
                <w:szCs w:val="21"/>
              </w:rPr>
            </w:pPr>
          </w:p>
        </w:tc>
        <w:tc>
          <w:tcPr>
            <w:tcW w:w="2852" w:type="dxa"/>
            <w:noWrap w:val="0"/>
            <w:vAlign w:val="top"/>
          </w:tcPr>
          <w:p w14:paraId="463CFBF7">
            <w:pPr>
              <w:spacing w:line="360" w:lineRule="auto"/>
              <w:jc w:val="center"/>
              <w:rPr>
                <w:rFonts w:hint="eastAsia" w:ascii="仿宋" w:hAnsi="仿宋" w:eastAsia="仿宋" w:cs="仿宋"/>
                <w:szCs w:val="21"/>
              </w:rPr>
            </w:pPr>
          </w:p>
        </w:tc>
        <w:tc>
          <w:tcPr>
            <w:tcW w:w="1308" w:type="dxa"/>
            <w:noWrap w:val="0"/>
            <w:vAlign w:val="top"/>
          </w:tcPr>
          <w:p w14:paraId="1F327903">
            <w:pPr>
              <w:spacing w:line="360" w:lineRule="auto"/>
              <w:jc w:val="center"/>
              <w:rPr>
                <w:rFonts w:hint="eastAsia" w:ascii="仿宋" w:hAnsi="仿宋" w:eastAsia="仿宋" w:cs="仿宋"/>
                <w:szCs w:val="21"/>
              </w:rPr>
            </w:pPr>
          </w:p>
        </w:tc>
        <w:tc>
          <w:tcPr>
            <w:tcW w:w="1173" w:type="dxa"/>
            <w:noWrap w:val="0"/>
            <w:vAlign w:val="top"/>
          </w:tcPr>
          <w:p w14:paraId="383C90ED">
            <w:pPr>
              <w:spacing w:line="360" w:lineRule="auto"/>
              <w:jc w:val="center"/>
              <w:rPr>
                <w:rFonts w:hint="eastAsia" w:ascii="仿宋" w:hAnsi="仿宋" w:eastAsia="仿宋" w:cs="仿宋"/>
                <w:szCs w:val="21"/>
              </w:rPr>
            </w:pPr>
          </w:p>
        </w:tc>
      </w:tr>
      <w:tr w14:paraId="0624B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48A2D45E">
            <w:pPr>
              <w:spacing w:line="360" w:lineRule="auto"/>
              <w:jc w:val="center"/>
              <w:rPr>
                <w:rFonts w:hint="eastAsia" w:ascii="仿宋" w:hAnsi="仿宋" w:eastAsia="仿宋" w:cs="仿宋"/>
                <w:szCs w:val="21"/>
              </w:rPr>
            </w:pPr>
          </w:p>
        </w:tc>
        <w:tc>
          <w:tcPr>
            <w:tcW w:w="2852" w:type="dxa"/>
            <w:noWrap w:val="0"/>
            <w:vAlign w:val="top"/>
          </w:tcPr>
          <w:p w14:paraId="4976F8AC">
            <w:pPr>
              <w:spacing w:line="360" w:lineRule="auto"/>
              <w:jc w:val="center"/>
              <w:rPr>
                <w:rFonts w:hint="eastAsia" w:ascii="仿宋" w:hAnsi="仿宋" w:eastAsia="仿宋" w:cs="仿宋"/>
                <w:szCs w:val="21"/>
              </w:rPr>
            </w:pPr>
          </w:p>
        </w:tc>
        <w:tc>
          <w:tcPr>
            <w:tcW w:w="2852" w:type="dxa"/>
            <w:noWrap w:val="0"/>
            <w:vAlign w:val="top"/>
          </w:tcPr>
          <w:p w14:paraId="492E10B5">
            <w:pPr>
              <w:spacing w:line="360" w:lineRule="auto"/>
              <w:jc w:val="center"/>
              <w:rPr>
                <w:rFonts w:hint="eastAsia" w:ascii="仿宋" w:hAnsi="仿宋" w:eastAsia="仿宋" w:cs="仿宋"/>
                <w:szCs w:val="21"/>
              </w:rPr>
            </w:pPr>
          </w:p>
        </w:tc>
        <w:tc>
          <w:tcPr>
            <w:tcW w:w="1308" w:type="dxa"/>
            <w:noWrap w:val="0"/>
            <w:vAlign w:val="top"/>
          </w:tcPr>
          <w:p w14:paraId="17D58649">
            <w:pPr>
              <w:spacing w:line="360" w:lineRule="auto"/>
              <w:jc w:val="center"/>
              <w:rPr>
                <w:rFonts w:hint="eastAsia" w:ascii="仿宋" w:hAnsi="仿宋" w:eastAsia="仿宋" w:cs="仿宋"/>
                <w:szCs w:val="21"/>
              </w:rPr>
            </w:pPr>
          </w:p>
        </w:tc>
        <w:tc>
          <w:tcPr>
            <w:tcW w:w="1173" w:type="dxa"/>
            <w:noWrap w:val="0"/>
            <w:vAlign w:val="top"/>
          </w:tcPr>
          <w:p w14:paraId="7EEB096C">
            <w:pPr>
              <w:spacing w:line="360" w:lineRule="auto"/>
              <w:jc w:val="center"/>
              <w:rPr>
                <w:rFonts w:hint="eastAsia" w:ascii="仿宋" w:hAnsi="仿宋" w:eastAsia="仿宋" w:cs="仿宋"/>
                <w:szCs w:val="21"/>
              </w:rPr>
            </w:pPr>
          </w:p>
        </w:tc>
      </w:tr>
      <w:tr w14:paraId="1BA1E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vAlign w:val="top"/>
          </w:tcPr>
          <w:p w14:paraId="54EE1C22">
            <w:pPr>
              <w:spacing w:line="360" w:lineRule="auto"/>
              <w:jc w:val="center"/>
              <w:rPr>
                <w:rFonts w:hint="eastAsia" w:ascii="仿宋" w:hAnsi="仿宋" w:eastAsia="仿宋" w:cs="仿宋"/>
                <w:szCs w:val="21"/>
              </w:rPr>
            </w:pPr>
          </w:p>
        </w:tc>
        <w:tc>
          <w:tcPr>
            <w:tcW w:w="2852" w:type="dxa"/>
            <w:noWrap w:val="0"/>
            <w:vAlign w:val="top"/>
          </w:tcPr>
          <w:p w14:paraId="43A2E6CF">
            <w:pPr>
              <w:spacing w:line="360" w:lineRule="auto"/>
              <w:jc w:val="center"/>
              <w:rPr>
                <w:rFonts w:hint="eastAsia" w:ascii="仿宋" w:hAnsi="仿宋" w:eastAsia="仿宋" w:cs="仿宋"/>
                <w:szCs w:val="21"/>
              </w:rPr>
            </w:pPr>
          </w:p>
        </w:tc>
        <w:tc>
          <w:tcPr>
            <w:tcW w:w="2852" w:type="dxa"/>
            <w:noWrap w:val="0"/>
            <w:vAlign w:val="top"/>
          </w:tcPr>
          <w:p w14:paraId="0163DF51">
            <w:pPr>
              <w:spacing w:line="360" w:lineRule="auto"/>
              <w:jc w:val="center"/>
              <w:rPr>
                <w:rFonts w:hint="eastAsia" w:ascii="仿宋" w:hAnsi="仿宋" w:eastAsia="仿宋" w:cs="仿宋"/>
                <w:szCs w:val="21"/>
              </w:rPr>
            </w:pPr>
          </w:p>
        </w:tc>
        <w:tc>
          <w:tcPr>
            <w:tcW w:w="1308" w:type="dxa"/>
            <w:noWrap w:val="0"/>
            <w:vAlign w:val="top"/>
          </w:tcPr>
          <w:p w14:paraId="43BE1A71">
            <w:pPr>
              <w:spacing w:line="360" w:lineRule="auto"/>
              <w:jc w:val="center"/>
              <w:rPr>
                <w:rFonts w:hint="eastAsia" w:ascii="仿宋" w:hAnsi="仿宋" w:eastAsia="仿宋" w:cs="仿宋"/>
                <w:szCs w:val="21"/>
              </w:rPr>
            </w:pPr>
          </w:p>
        </w:tc>
        <w:tc>
          <w:tcPr>
            <w:tcW w:w="1173" w:type="dxa"/>
            <w:noWrap w:val="0"/>
            <w:vAlign w:val="top"/>
          </w:tcPr>
          <w:p w14:paraId="6548C32C">
            <w:pPr>
              <w:spacing w:line="360" w:lineRule="auto"/>
              <w:jc w:val="center"/>
              <w:rPr>
                <w:rFonts w:hint="eastAsia" w:ascii="仿宋" w:hAnsi="仿宋" w:eastAsia="仿宋" w:cs="仿宋"/>
                <w:szCs w:val="21"/>
              </w:rPr>
            </w:pPr>
          </w:p>
        </w:tc>
      </w:tr>
    </w:tbl>
    <w:p w14:paraId="50EADF10">
      <w:pPr>
        <w:spacing w:line="360" w:lineRule="auto"/>
        <w:rPr>
          <w:rFonts w:hint="eastAsia" w:ascii="仿宋" w:hAnsi="仿宋" w:eastAsia="仿宋" w:cs="仿宋"/>
          <w:sz w:val="24"/>
          <w:szCs w:val="24"/>
        </w:rPr>
      </w:pPr>
    </w:p>
    <w:p w14:paraId="7BCDC504">
      <w:pPr>
        <w:spacing w:line="360" w:lineRule="auto"/>
        <w:rPr>
          <w:rFonts w:hint="eastAsia" w:ascii="仿宋" w:hAnsi="仿宋" w:eastAsia="仿宋" w:cs="仿宋"/>
          <w:szCs w:val="21"/>
        </w:rPr>
      </w:pPr>
      <w:r>
        <w:rPr>
          <w:rFonts w:hint="eastAsia" w:ascii="仿宋" w:hAnsi="仿宋" w:eastAsia="仿宋" w:cs="仿宋"/>
          <w:szCs w:val="21"/>
        </w:rPr>
        <w:t>注：1、按照基本技术要求详细填列。</w:t>
      </w:r>
    </w:p>
    <w:p w14:paraId="65B4678A">
      <w:pPr>
        <w:spacing w:line="360" w:lineRule="auto"/>
        <w:ind w:firstLine="420"/>
        <w:rPr>
          <w:rFonts w:hint="eastAsia" w:ascii="仿宋" w:hAnsi="仿宋" w:eastAsia="仿宋" w:cs="仿宋"/>
          <w:szCs w:val="21"/>
        </w:rPr>
      </w:pPr>
      <w:r>
        <w:rPr>
          <w:rFonts w:hint="eastAsia" w:ascii="仿宋" w:hAnsi="仿宋" w:eastAsia="仿宋" w:cs="仿宋"/>
          <w:szCs w:val="21"/>
        </w:rPr>
        <w:t>2、行数不够，可自行添加。</w:t>
      </w:r>
    </w:p>
    <w:p w14:paraId="7FDE671A">
      <w:pPr>
        <w:pStyle w:val="198"/>
        <w:spacing w:line="360" w:lineRule="auto"/>
        <w:jc w:val="center"/>
        <w:rPr>
          <w:rFonts w:hint="eastAsia" w:ascii="仿宋" w:hAnsi="仿宋" w:eastAsia="仿宋" w:cs="仿宋"/>
          <w:bCs w:val="0"/>
        </w:rPr>
      </w:pPr>
      <w:bookmarkStart w:id="99" w:name="_Hlt26955054"/>
      <w:bookmarkEnd w:id="99"/>
      <w:bookmarkStart w:id="100" w:name="_Toc109304979"/>
      <w:r>
        <w:rPr>
          <w:rFonts w:hint="eastAsia" w:ascii="仿宋" w:hAnsi="仿宋" w:eastAsia="仿宋" w:cs="仿宋"/>
          <w:bCs w:val="0"/>
        </w:rPr>
        <w:br w:type="page" w:clear="all"/>
      </w:r>
      <w:r>
        <w:rPr>
          <w:rFonts w:hint="eastAsia" w:ascii="仿宋" w:hAnsi="仿宋" w:eastAsia="仿宋" w:cs="仿宋"/>
          <w:bCs w:val="0"/>
        </w:rPr>
        <w:t>六、商务条款响应及偏离表</w:t>
      </w:r>
      <w:bookmarkEnd w:id="100"/>
    </w:p>
    <w:tbl>
      <w:tblPr>
        <w:tblStyle w:val="40"/>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45"/>
        <w:gridCol w:w="2513"/>
        <w:gridCol w:w="1845"/>
        <w:gridCol w:w="2995"/>
      </w:tblGrid>
      <w:tr w14:paraId="6AD6D0A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PrEx>
        <w:trPr>
          <w:trHeight w:val="704" w:hRule="atLeast"/>
          <w:jc w:val="center"/>
        </w:trPr>
        <w:tc>
          <w:tcPr>
            <w:tcW w:w="1645" w:type="dxa"/>
            <w:tcBorders>
              <w:bottom w:val="single" w:color="auto" w:sz="4" w:space="0"/>
            </w:tcBorders>
            <w:noWrap w:val="0"/>
            <w:vAlign w:val="top"/>
          </w:tcPr>
          <w:p w14:paraId="3E69C5C9">
            <w:pPr>
              <w:spacing w:before="156" w:line="360" w:lineRule="auto"/>
              <w:jc w:val="center"/>
              <w:rPr>
                <w:rFonts w:hint="eastAsia" w:ascii="仿宋" w:hAnsi="仿宋" w:eastAsia="仿宋" w:cs="仿宋"/>
                <w:szCs w:val="21"/>
              </w:rPr>
            </w:pPr>
            <w:r>
              <w:rPr>
                <w:rFonts w:hint="eastAsia" w:ascii="仿宋" w:hAnsi="仿宋" w:eastAsia="仿宋" w:cs="仿宋"/>
                <w:szCs w:val="21"/>
              </w:rPr>
              <w:t>项目</w:t>
            </w:r>
          </w:p>
        </w:tc>
        <w:tc>
          <w:tcPr>
            <w:tcW w:w="2513" w:type="dxa"/>
            <w:tcBorders>
              <w:bottom w:val="single" w:color="auto" w:sz="4" w:space="0"/>
            </w:tcBorders>
            <w:noWrap w:val="0"/>
            <w:vAlign w:val="top"/>
          </w:tcPr>
          <w:p w14:paraId="4E91D868">
            <w:pPr>
              <w:spacing w:before="156" w:line="360" w:lineRule="auto"/>
              <w:jc w:val="center"/>
              <w:rPr>
                <w:rFonts w:hint="eastAsia" w:ascii="仿宋" w:hAnsi="仿宋" w:eastAsia="仿宋" w:cs="仿宋"/>
                <w:szCs w:val="21"/>
              </w:rPr>
            </w:pPr>
            <w:r>
              <w:rPr>
                <w:rFonts w:hint="eastAsia" w:ascii="仿宋" w:hAnsi="仿宋" w:eastAsia="仿宋" w:cs="仿宋"/>
                <w:szCs w:val="21"/>
              </w:rPr>
              <w:t>采购文件要求</w:t>
            </w:r>
          </w:p>
        </w:tc>
        <w:tc>
          <w:tcPr>
            <w:tcW w:w="1845" w:type="dxa"/>
            <w:tcBorders>
              <w:bottom w:val="single" w:color="auto" w:sz="4" w:space="0"/>
            </w:tcBorders>
            <w:noWrap w:val="0"/>
            <w:vAlign w:val="top"/>
          </w:tcPr>
          <w:p w14:paraId="6CAD2542">
            <w:pPr>
              <w:spacing w:before="156" w:line="360" w:lineRule="auto"/>
              <w:jc w:val="center"/>
              <w:rPr>
                <w:rFonts w:hint="eastAsia" w:ascii="仿宋" w:hAnsi="仿宋" w:eastAsia="仿宋" w:cs="仿宋"/>
                <w:szCs w:val="21"/>
              </w:rPr>
            </w:pPr>
            <w:r>
              <w:rPr>
                <w:rFonts w:hint="eastAsia" w:ascii="仿宋" w:hAnsi="仿宋" w:eastAsia="仿宋" w:cs="仿宋"/>
                <w:szCs w:val="21"/>
              </w:rPr>
              <w:t>是否响应</w:t>
            </w:r>
          </w:p>
        </w:tc>
        <w:tc>
          <w:tcPr>
            <w:tcW w:w="2995" w:type="dxa"/>
            <w:tcBorders>
              <w:bottom w:val="single" w:color="auto" w:sz="4" w:space="0"/>
            </w:tcBorders>
            <w:noWrap w:val="0"/>
            <w:vAlign w:val="top"/>
          </w:tcPr>
          <w:p w14:paraId="5A429B53">
            <w:pPr>
              <w:spacing w:before="156" w:line="360" w:lineRule="auto"/>
              <w:jc w:val="center"/>
              <w:rPr>
                <w:rFonts w:hint="eastAsia" w:ascii="仿宋" w:hAnsi="仿宋" w:eastAsia="仿宋" w:cs="仿宋"/>
                <w:szCs w:val="21"/>
              </w:rPr>
            </w:pPr>
            <w:r>
              <w:rPr>
                <w:rFonts w:hint="eastAsia" w:ascii="仿宋" w:hAnsi="仿宋" w:eastAsia="仿宋" w:cs="仿宋"/>
                <w:szCs w:val="21"/>
              </w:rPr>
              <w:t>供应商的承诺或说明</w:t>
            </w:r>
          </w:p>
        </w:tc>
      </w:tr>
      <w:tr w14:paraId="2B55BCE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93" w:hRule="atLeast"/>
          <w:jc w:val="center"/>
        </w:trPr>
        <w:tc>
          <w:tcPr>
            <w:tcW w:w="1645" w:type="dxa"/>
            <w:tcBorders>
              <w:top w:val="single" w:color="auto" w:sz="4" w:space="0"/>
              <w:bottom w:val="single" w:color="auto" w:sz="4" w:space="0"/>
            </w:tcBorders>
            <w:noWrap w:val="0"/>
            <w:vAlign w:val="top"/>
          </w:tcPr>
          <w:p w14:paraId="72E35A5D">
            <w:pPr>
              <w:spacing w:before="156" w:line="360" w:lineRule="auto"/>
              <w:jc w:val="center"/>
              <w:rPr>
                <w:rFonts w:hint="eastAsia" w:ascii="仿宋" w:hAnsi="仿宋" w:eastAsia="仿宋" w:cs="仿宋"/>
                <w:szCs w:val="21"/>
              </w:rPr>
            </w:pPr>
            <w:r>
              <w:rPr>
                <w:rFonts w:hint="eastAsia" w:ascii="仿宋" w:hAnsi="仿宋" w:eastAsia="仿宋" w:cs="仿宋"/>
                <w:szCs w:val="21"/>
              </w:rPr>
              <w:t>交付时间</w:t>
            </w:r>
          </w:p>
        </w:tc>
        <w:tc>
          <w:tcPr>
            <w:tcW w:w="2513" w:type="dxa"/>
            <w:tcBorders>
              <w:top w:val="single" w:color="auto" w:sz="4" w:space="0"/>
              <w:bottom w:val="single" w:color="auto" w:sz="4" w:space="0"/>
            </w:tcBorders>
            <w:noWrap w:val="0"/>
            <w:vAlign w:val="top"/>
          </w:tcPr>
          <w:p w14:paraId="6DA79F8E">
            <w:pPr>
              <w:spacing w:before="156" w:line="360" w:lineRule="auto"/>
              <w:jc w:val="center"/>
              <w:rPr>
                <w:rFonts w:hint="eastAsia" w:ascii="仿宋" w:hAnsi="仿宋" w:eastAsia="仿宋" w:cs="仿宋"/>
                <w:szCs w:val="21"/>
              </w:rPr>
            </w:pPr>
          </w:p>
        </w:tc>
        <w:tc>
          <w:tcPr>
            <w:tcW w:w="1845" w:type="dxa"/>
            <w:tcBorders>
              <w:top w:val="single" w:color="auto" w:sz="4" w:space="0"/>
              <w:bottom w:val="single" w:color="auto" w:sz="4" w:space="0"/>
            </w:tcBorders>
            <w:noWrap w:val="0"/>
            <w:vAlign w:val="top"/>
          </w:tcPr>
          <w:p w14:paraId="01AFE5BE">
            <w:pPr>
              <w:spacing w:before="156" w:line="360" w:lineRule="auto"/>
              <w:ind w:left="43"/>
              <w:jc w:val="center"/>
              <w:rPr>
                <w:rFonts w:hint="eastAsia" w:ascii="仿宋" w:hAnsi="仿宋" w:eastAsia="仿宋" w:cs="仿宋"/>
                <w:szCs w:val="21"/>
              </w:rPr>
            </w:pPr>
          </w:p>
        </w:tc>
        <w:tc>
          <w:tcPr>
            <w:tcW w:w="2995" w:type="dxa"/>
            <w:tcBorders>
              <w:top w:val="single" w:color="auto" w:sz="4" w:space="0"/>
              <w:bottom w:val="single" w:color="auto" w:sz="4" w:space="0"/>
            </w:tcBorders>
            <w:noWrap w:val="0"/>
            <w:vAlign w:val="top"/>
          </w:tcPr>
          <w:p w14:paraId="276AEEC1">
            <w:pPr>
              <w:spacing w:before="156" w:line="360" w:lineRule="auto"/>
              <w:ind w:left="43"/>
              <w:jc w:val="center"/>
              <w:rPr>
                <w:rFonts w:hint="eastAsia" w:ascii="仿宋" w:hAnsi="仿宋" w:eastAsia="仿宋" w:cs="仿宋"/>
                <w:szCs w:val="21"/>
              </w:rPr>
            </w:pPr>
          </w:p>
        </w:tc>
      </w:tr>
      <w:tr w14:paraId="1DA36F3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5" w:hRule="atLeast"/>
          <w:jc w:val="center"/>
        </w:trPr>
        <w:tc>
          <w:tcPr>
            <w:tcW w:w="1645" w:type="dxa"/>
            <w:tcBorders>
              <w:top w:val="single" w:color="auto" w:sz="4" w:space="0"/>
              <w:bottom w:val="single" w:color="auto" w:sz="4" w:space="0"/>
            </w:tcBorders>
            <w:noWrap w:val="0"/>
            <w:vAlign w:val="top"/>
          </w:tcPr>
          <w:p w14:paraId="5DD31EA3">
            <w:pPr>
              <w:spacing w:before="156" w:line="360" w:lineRule="auto"/>
              <w:jc w:val="center"/>
              <w:rPr>
                <w:rFonts w:hint="eastAsia" w:ascii="仿宋" w:hAnsi="仿宋" w:eastAsia="仿宋" w:cs="仿宋"/>
                <w:szCs w:val="21"/>
              </w:rPr>
            </w:pPr>
            <w:r>
              <w:rPr>
                <w:rFonts w:hint="eastAsia" w:ascii="仿宋" w:hAnsi="仿宋" w:eastAsia="仿宋" w:cs="仿宋"/>
                <w:szCs w:val="21"/>
              </w:rPr>
              <w:t>交货方式</w:t>
            </w:r>
          </w:p>
        </w:tc>
        <w:tc>
          <w:tcPr>
            <w:tcW w:w="2513" w:type="dxa"/>
            <w:tcBorders>
              <w:top w:val="single" w:color="auto" w:sz="4" w:space="0"/>
              <w:bottom w:val="single" w:color="auto" w:sz="4" w:space="0"/>
            </w:tcBorders>
            <w:noWrap w:val="0"/>
            <w:vAlign w:val="top"/>
          </w:tcPr>
          <w:p w14:paraId="4FCE14D7">
            <w:pPr>
              <w:spacing w:before="156" w:line="360" w:lineRule="auto"/>
              <w:rPr>
                <w:rFonts w:hint="eastAsia" w:ascii="仿宋" w:hAnsi="仿宋" w:eastAsia="仿宋" w:cs="仿宋"/>
                <w:szCs w:val="21"/>
              </w:rPr>
            </w:pPr>
          </w:p>
        </w:tc>
        <w:tc>
          <w:tcPr>
            <w:tcW w:w="1845" w:type="dxa"/>
            <w:tcBorders>
              <w:top w:val="single" w:color="auto" w:sz="4" w:space="0"/>
              <w:bottom w:val="single" w:color="auto" w:sz="4" w:space="0"/>
            </w:tcBorders>
            <w:noWrap w:val="0"/>
            <w:vAlign w:val="top"/>
          </w:tcPr>
          <w:p w14:paraId="00BAAC82">
            <w:pPr>
              <w:spacing w:before="156" w:line="360" w:lineRule="auto"/>
              <w:ind w:left="43"/>
              <w:jc w:val="center"/>
              <w:rPr>
                <w:rFonts w:hint="eastAsia" w:ascii="仿宋" w:hAnsi="仿宋" w:eastAsia="仿宋" w:cs="仿宋"/>
                <w:szCs w:val="21"/>
              </w:rPr>
            </w:pPr>
          </w:p>
        </w:tc>
        <w:tc>
          <w:tcPr>
            <w:tcW w:w="2995" w:type="dxa"/>
            <w:tcBorders>
              <w:top w:val="single" w:color="auto" w:sz="4" w:space="0"/>
              <w:bottom w:val="single" w:color="auto" w:sz="4" w:space="0"/>
            </w:tcBorders>
            <w:noWrap w:val="0"/>
            <w:vAlign w:val="top"/>
          </w:tcPr>
          <w:p w14:paraId="736AEABA">
            <w:pPr>
              <w:spacing w:before="156" w:line="360" w:lineRule="auto"/>
              <w:ind w:left="43"/>
              <w:jc w:val="center"/>
              <w:rPr>
                <w:rFonts w:hint="eastAsia" w:ascii="仿宋" w:hAnsi="仿宋" w:eastAsia="仿宋" w:cs="仿宋"/>
                <w:szCs w:val="21"/>
              </w:rPr>
            </w:pPr>
          </w:p>
        </w:tc>
      </w:tr>
      <w:tr w14:paraId="7A6D066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07" w:hRule="atLeast"/>
          <w:jc w:val="center"/>
        </w:trPr>
        <w:tc>
          <w:tcPr>
            <w:tcW w:w="1645" w:type="dxa"/>
            <w:tcBorders>
              <w:top w:val="single" w:color="auto" w:sz="4" w:space="0"/>
              <w:bottom w:val="single" w:color="auto" w:sz="4" w:space="0"/>
            </w:tcBorders>
            <w:noWrap w:val="0"/>
            <w:vAlign w:val="top"/>
          </w:tcPr>
          <w:p w14:paraId="386266ED">
            <w:pPr>
              <w:spacing w:before="156" w:line="360" w:lineRule="auto"/>
              <w:jc w:val="center"/>
              <w:rPr>
                <w:rFonts w:hint="eastAsia" w:ascii="仿宋" w:hAnsi="仿宋" w:eastAsia="仿宋" w:cs="仿宋"/>
                <w:szCs w:val="21"/>
              </w:rPr>
            </w:pPr>
            <w:r>
              <w:rPr>
                <w:rFonts w:hint="eastAsia" w:ascii="仿宋" w:hAnsi="仿宋" w:eastAsia="仿宋" w:cs="仿宋"/>
                <w:szCs w:val="21"/>
              </w:rPr>
              <w:t>交货地点</w:t>
            </w:r>
          </w:p>
        </w:tc>
        <w:tc>
          <w:tcPr>
            <w:tcW w:w="2513" w:type="dxa"/>
            <w:tcBorders>
              <w:top w:val="single" w:color="auto" w:sz="4" w:space="0"/>
              <w:bottom w:val="single" w:color="auto" w:sz="4" w:space="0"/>
            </w:tcBorders>
            <w:noWrap w:val="0"/>
            <w:vAlign w:val="top"/>
          </w:tcPr>
          <w:p w14:paraId="3EFEEF6F">
            <w:pPr>
              <w:spacing w:before="156" w:line="360" w:lineRule="auto"/>
              <w:rPr>
                <w:rFonts w:hint="eastAsia" w:ascii="仿宋" w:hAnsi="仿宋" w:eastAsia="仿宋" w:cs="仿宋"/>
                <w:szCs w:val="21"/>
              </w:rPr>
            </w:pPr>
          </w:p>
        </w:tc>
        <w:tc>
          <w:tcPr>
            <w:tcW w:w="1845" w:type="dxa"/>
            <w:tcBorders>
              <w:top w:val="single" w:color="auto" w:sz="4" w:space="0"/>
              <w:bottom w:val="single" w:color="auto" w:sz="4" w:space="0"/>
            </w:tcBorders>
            <w:noWrap w:val="0"/>
            <w:vAlign w:val="top"/>
          </w:tcPr>
          <w:p w14:paraId="2B198888">
            <w:pPr>
              <w:spacing w:before="156" w:line="360" w:lineRule="auto"/>
              <w:ind w:left="43"/>
              <w:jc w:val="center"/>
              <w:rPr>
                <w:rFonts w:hint="eastAsia" w:ascii="仿宋" w:hAnsi="仿宋" w:eastAsia="仿宋" w:cs="仿宋"/>
                <w:szCs w:val="21"/>
              </w:rPr>
            </w:pPr>
          </w:p>
        </w:tc>
        <w:tc>
          <w:tcPr>
            <w:tcW w:w="2995" w:type="dxa"/>
            <w:tcBorders>
              <w:top w:val="single" w:color="auto" w:sz="4" w:space="0"/>
              <w:bottom w:val="single" w:color="auto" w:sz="4" w:space="0"/>
            </w:tcBorders>
            <w:noWrap w:val="0"/>
            <w:vAlign w:val="top"/>
          </w:tcPr>
          <w:p w14:paraId="150F679F">
            <w:pPr>
              <w:spacing w:before="156" w:line="360" w:lineRule="auto"/>
              <w:ind w:left="43"/>
              <w:jc w:val="center"/>
              <w:rPr>
                <w:rFonts w:hint="eastAsia" w:ascii="仿宋" w:hAnsi="仿宋" w:eastAsia="仿宋" w:cs="仿宋"/>
                <w:szCs w:val="21"/>
              </w:rPr>
            </w:pPr>
          </w:p>
        </w:tc>
      </w:tr>
      <w:tr w14:paraId="56BC475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72" w:hRule="atLeast"/>
          <w:jc w:val="center"/>
        </w:trPr>
        <w:tc>
          <w:tcPr>
            <w:tcW w:w="1645" w:type="dxa"/>
            <w:tcBorders>
              <w:top w:val="single" w:color="auto" w:sz="4" w:space="0"/>
              <w:bottom w:val="single" w:color="auto" w:sz="4" w:space="0"/>
            </w:tcBorders>
            <w:noWrap w:val="0"/>
            <w:vAlign w:val="top"/>
          </w:tcPr>
          <w:p w14:paraId="7A103FBD">
            <w:pPr>
              <w:spacing w:before="156" w:line="360" w:lineRule="auto"/>
              <w:jc w:val="center"/>
              <w:rPr>
                <w:rFonts w:hint="eastAsia" w:ascii="仿宋" w:hAnsi="仿宋" w:eastAsia="仿宋" w:cs="仿宋"/>
                <w:szCs w:val="21"/>
              </w:rPr>
            </w:pPr>
            <w:r>
              <w:rPr>
                <w:rFonts w:hint="eastAsia" w:ascii="仿宋" w:hAnsi="仿宋" w:eastAsia="仿宋" w:cs="仿宋"/>
                <w:szCs w:val="21"/>
              </w:rPr>
              <w:t>付款方式</w:t>
            </w:r>
          </w:p>
        </w:tc>
        <w:tc>
          <w:tcPr>
            <w:tcW w:w="2513" w:type="dxa"/>
            <w:tcBorders>
              <w:top w:val="single" w:color="auto" w:sz="4" w:space="0"/>
              <w:bottom w:val="single" w:color="auto" w:sz="4" w:space="0"/>
            </w:tcBorders>
            <w:noWrap w:val="0"/>
            <w:vAlign w:val="top"/>
          </w:tcPr>
          <w:p w14:paraId="74F5BC0F">
            <w:pPr>
              <w:spacing w:before="156" w:line="360" w:lineRule="auto"/>
              <w:rPr>
                <w:rFonts w:hint="eastAsia" w:ascii="仿宋" w:hAnsi="仿宋" w:eastAsia="仿宋" w:cs="仿宋"/>
                <w:szCs w:val="21"/>
              </w:rPr>
            </w:pPr>
          </w:p>
        </w:tc>
        <w:tc>
          <w:tcPr>
            <w:tcW w:w="1845" w:type="dxa"/>
            <w:tcBorders>
              <w:top w:val="single" w:color="auto" w:sz="4" w:space="0"/>
              <w:bottom w:val="single" w:color="auto" w:sz="4" w:space="0"/>
            </w:tcBorders>
            <w:noWrap w:val="0"/>
            <w:vAlign w:val="top"/>
          </w:tcPr>
          <w:p w14:paraId="424D0764">
            <w:pPr>
              <w:spacing w:before="156" w:line="360" w:lineRule="auto"/>
              <w:jc w:val="center"/>
              <w:rPr>
                <w:rFonts w:hint="eastAsia" w:ascii="仿宋" w:hAnsi="仿宋" w:eastAsia="仿宋" w:cs="仿宋"/>
                <w:szCs w:val="21"/>
              </w:rPr>
            </w:pPr>
          </w:p>
        </w:tc>
        <w:tc>
          <w:tcPr>
            <w:tcW w:w="2995" w:type="dxa"/>
            <w:tcBorders>
              <w:top w:val="single" w:color="auto" w:sz="4" w:space="0"/>
              <w:bottom w:val="single" w:color="auto" w:sz="4" w:space="0"/>
            </w:tcBorders>
            <w:noWrap w:val="0"/>
            <w:vAlign w:val="top"/>
          </w:tcPr>
          <w:p w14:paraId="700DD5B5">
            <w:pPr>
              <w:spacing w:before="156" w:line="360" w:lineRule="auto"/>
              <w:jc w:val="center"/>
              <w:rPr>
                <w:rFonts w:hint="eastAsia" w:ascii="仿宋" w:hAnsi="仿宋" w:eastAsia="仿宋" w:cs="仿宋"/>
                <w:szCs w:val="21"/>
              </w:rPr>
            </w:pPr>
          </w:p>
        </w:tc>
      </w:tr>
      <w:tr w14:paraId="78A8AC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83" w:hRule="atLeast"/>
          <w:jc w:val="center"/>
        </w:trPr>
        <w:tc>
          <w:tcPr>
            <w:tcW w:w="1645" w:type="dxa"/>
            <w:tcBorders>
              <w:top w:val="single" w:color="auto" w:sz="4" w:space="0"/>
            </w:tcBorders>
            <w:noWrap w:val="0"/>
            <w:vAlign w:val="top"/>
          </w:tcPr>
          <w:p w14:paraId="67E3206D">
            <w:pPr>
              <w:spacing w:before="156" w:line="360" w:lineRule="auto"/>
              <w:jc w:val="center"/>
              <w:rPr>
                <w:rFonts w:hint="eastAsia" w:ascii="仿宋" w:hAnsi="仿宋" w:eastAsia="仿宋" w:cs="仿宋"/>
                <w:szCs w:val="21"/>
              </w:rPr>
            </w:pPr>
            <w:r>
              <w:rPr>
                <w:rFonts w:hint="eastAsia" w:ascii="仿宋" w:hAnsi="仿宋" w:eastAsia="仿宋" w:cs="仿宋"/>
                <w:szCs w:val="21"/>
              </w:rPr>
              <w:t>其他</w:t>
            </w:r>
          </w:p>
        </w:tc>
        <w:tc>
          <w:tcPr>
            <w:tcW w:w="2513" w:type="dxa"/>
            <w:tcBorders>
              <w:top w:val="single" w:color="auto" w:sz="4" w:space="0"/>
            </w:tcBorders>
            <w:noWrap w:val="0"/>
            <w:vAlign w:val="top"/>
          </w:tcPr>
          <w:p w14:paraId="0998F03B">
            <w:pPr>
              <w:spacing w:before="156" w:line="360" w:lineRule="auto"/>
              <w:jc w:val="center"/>
              <w:rPr>
                <w:rFonts w:hint="eastAsia" w:ascii="仿宋" w:hAnsi="仿宋" w:eastAsia="仿宋" w:cs="仿宋"/>
                <w:szCs w:val="21"/>
              </w:rPr>
            </w:pPr>
            <w:r>
              <w:rPr>
                <w:rFonts w:hint="eastAsia" w:ascii="仿宋" w:hAnsi="仿宋" w:eastAsia="仿宋" w:cs="仿宋"/>
                <w:szCs w:val="21"/>
              </w:rPr>
              <w:t>……</w:t>
            </w:r>
          </w:p>
        </w:tc>
        <w:tc>
          <w:tcPr>
            <w:tcW w:w="1845" w:type="dxa"/>
            <w:tcBorders>
              <w:top w:val="single" w:color="auto" w:sz="4" w:space="0"/>
            </w:tcBorders>
            <w:noWrap w:val="0"/>
            <w:vAlign w:val="top"/>
          </w:tcPr>
          <w:p w14:paraId="73BE780D">
            <w:pPr>
              <w:spacing w:before="156" w:line="360" w:lineRule="auto"/>
              <w:jc w:val="center"/>
              <w:rPr>
                <w:rFonts w:hint="eastAsia" w:ascii="仿宋" w:hAnsi="仿宋" w:eastAsia="仿宋" w:cs="仿宋"/>
                <w:szCs w:val="21"/>
              </w:rPr>
            </w:pPr>
          </w:p>
        </w:tc>
        <w:tc>
          <w:tcPr>
            <w:tcW w:w="2995" w:type="dxa"/>
            <w:tcBorders>
              <w:top w:val="single" w:color="auto" w:sz="4" w:space="0"/>
            </w:tcBorders>
            <w:noWrap w:val="0"/>
            <w:vAlign w:val="top"/>
          </w:tcPr>
          <w:p w14:paraId="20B02DE0">
            <w:pPr>
              <w:spacing w:before="156" w:line="360" w:lineRule="auto"/>
              <w:jc w:val="center"/>
              <w:rPr>
                <w:rFonts w:hint="eastAsia" w:ascii="仿宋" w:hAnsi="仿宋" w:eastAsia="仿宋" w:cs="仿宋"/>
                <w:szCs w:val="21"/>
              </w:rPr>
            </w:pPr>
          </w:p>
        </w:tc>
      </w:tr>
    </w:tbl>
    <w:p w14:paraId="7E0FFFAE">
      <w:pPr>
        <w:widowControl/>
        <w:spacing w:line="360" w:lineRule="auto"/>
        <w:jc w:val="left"/>
        <w:rPr>
          <w:rFonts w:hint="eastAsia" w:ascii="仿宋" w:hAnsi="仿宋" w:eastAsia="仿宋" w:cs="仿宋"/>
          <w:b/>
          <w:highlight w:val="yellow"/>
        </w:rPr>
      </w:pPr>
      <w:bookmarkStart w:id="101" w:name="_Hlt24879081"/>
      <w:bookmarkEnd w:id="101"/>
      <w:bookmarkStart w:id="102" w:name="_Hlt26580838"/>
      <w:bookmarkEnd w:id="102"/>
      <w:bookmarkStart w:id="103" w:name="_Hlt26955064"/>
      <w:bookmarkEnd w:id="103"/>
      <w:bookmarkStart w:id="104" w:name="_Hlt26671343"/>
      <w:bookmarkEnd w:id="104"/>
      <w:bookmarkStart w:id="105" w:name="_Hlt26782999"/>
      <w:bookmarkEnd w:id="105"/>
      <w:bookmarkStart w:id="106" w:name="_Hlt26609391"/>
      <w:bookmarkEnd w:id="106"/>
      <w:bookmarkStart w:id="107" w:name="_Hlt26671372"/>
      <w:bookmarkEnd w:id="107"/>
      <w:bookmarkStart w:id="108" w:name="_Hlt26955056"/>
      <w:bookmarkEnd w:id="108"/>
      <w:r>
        <w:rPr>
          <w:rFonts w:hint="eastAsia" w:ascii="仿宋" w:hAnsi="仿宋" w:eastAsia="仿宋" w:cs="仿宋"/>
          <w:b/>
        </w:rPr>
        <w:br w:type="page" w:clear="all"/>
      </w:r>
    </w:p>
    <w:p w14:paraId="65DA06EA">
      <w:pPr>
        <w:spacing w:before="312" w:line="360" w:lineRule="auto"/>
        <w:jc w:val="center"/>
        <w:rPr>
          <w:rFonts w:hint="eastAsia" w:ascii="仿宋" w:hAnsi="仿宋" w:eastAsia="仿宋" w:cs="仿宋"/>
          <w:b/>
          <w:highlight w:val="none"/>
        </w:rPr>
      </w:pPr>
      <w:r>
        <w:rPr>
          <w:rFonts w:hint="eastAsia" w:ascii="仿宋" w:hAnsi="仿宋" w:eastAsia="仿宋" w:cs="仿宋"/>
          <w:b/>
          <w:highlight w:val="none"/>
        </w:rPr>
        <w:t>主要标的信息（成交后将公示）</w:t>
      </w:r>
    </w:p>
    <w:p w14:paraId="1F02BDAC">
      <w:pPr>
        <w:spacing w:after="312" w:line="360" w:lineRule="auto"/>
        <w:rPr>
          <w:rFonts w:hint="eastAsia" w:ascii="仿宋" w:hAnsi="仿宋" w:eastAsia="仿宋" w:cs="仿宋"/>
          <w:b/>
          <w:highlight w:val="none"/>
        </w:rPr>
      </w:pPr>
      <w:r>
        <w:rPr>
          <w:rFonts w:hint="eastAsia" w:ascii="仿宋" w:hAnsi="仿宋" w:eastAsia="仿宋" w:cs="仿宋"/>
          <w:highlight w:val="none"/>
        </w:rPr>
        <w:t>供应商全称：</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43"/>
        <w:gridCol w:w="4596"/>
      </w:tblGrid>
      <w:tr w14:paraId="4F761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4743" w:type="dxa"/>
            <w:noWrap w:val="0"/>
            <w:vAlign w:val="top"/>
          </w:tcPr>
          <w:p w14:paraId="1710507F">
            <w:pPr>
              <w:spacing w:line="360" w:lineRule="auto"/>
              <w:jc w:val="center"/>
              <w:rPr>
                <w:rFonts w:hint="eastAsia" w:ascii="仿宋" w:hAnsi="仿宋" w:eastAsia="仿宋" w:cs="仿宋"/>
              </w:rPr>
            </w:pPr>
            <w:r>
              <w:rPr>
                <w:rFonts w:hint="eastAsia" w:ascii="仿宋" w:hAnsi="仿宋" w:eastAsia="仿宋" w:cs="仿宋"/>
              </w:rPr>
              <w:t>货物类</w:t>
            </w:r>
          </w:p>
        </w:tc>
        <w:tc>
          <w:tcPr>
            <w:tcW w:w="4596" w:type="dxa"/>
            <w:noWrap w:val="0"/>
            <w:vAlign w:val="top"/>
          </w:tcPr>
          <w:p w14:paraId="459C5275">
            <w:pPr>
              <w:spacing w:line="360" w:lineRule="auto"/>
              <w:jc w:val="center"/>
              <w:rPr>
                <w:rFonts w:hint="eastAsia" w:ascii="仿宋" w:hAnsi="仿宋" w:eastAsia="仿宋" w:cs="仿宋"/>
              </w:rPr>
            </w:pPr>
            <w:r>
              <w:rPr>
                <w:rFonts w:hint="eastAsia" w:ascii="仿宋" w:hAnsi="仿宋" w:eastAsia="仿宋" w:cs="仿宋"/>
              </w:rPr>
              <w:t>服务类</w:t>
            </w:r>
          </w:p>
        </w:tc>
      </w:tr>
      <w:tr w14:paraId="39263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7" w:hRule="atLeast"/>
          <w:jc w:val="center"/>
        </w:trPr>
        <w:tc>
          <w:tcPr>
            <w:tcW w:w="4743" w:type="dxa"/>
            <w:noWrap w:val="0"/>
            <w:vAlign w:val="top"/>
          </w:tcPr>
          <w:p w14:paraId="0DA4E14D">
            <w:pPr>
              <w:spacing w:line="360" w:lineRule="auto"/>
              <w:rPr>
                <w:rFonts w:hint="eastAsia" w:ascii="仿宋" w:hAnsi="仿宋" w:eastAsia="仿宋" w:cs="仿宋"/>
              </w:rPr>
            </w:pPr>
            <w:r>
              <w:rPr>
                <w:rFonts w:hint="eastAsia" w:ascii="仿宋" w:hAnsi="仿宋" w:eastAsia="仿宋" w:cs="仿宋"/>
              </w:rPr>
              <w:t>名称：</w:t>
            </w:r>
          </w:p>
          <w:p w14:paraId="2145FB0E">
            <w:pPr>
              <w:spacing w:line="360" w:lineRule="auto"/>
              <w:rPr>
                <w:rFonts w:hint="eastAsia" w:ascii="仿宋" w:hAnsi="仿宋" w:eastAsia="仿宋" w:cs="仿宋"/>
              </w:rPr>
            </w:pPr>
            <w:r>
              <w:rPr>
                <w:rFonts w:hint="eastAsia" w:ascii="仿宋" w:hAnsi="仿宋" w:eastAsia="仿宋" w:cs="仿宋"/>
              </w:rPr>
              <w:t>品牌（如有）：</w:t>
            </w:r>
          </w:p>
          <w:p w14:paraId="3FF91E34">
            <w:pPr>
              <w:spacing w:line="360" w:lineRule="auto"/>
              <w:rPr>
                <w:rFonts w:hint="eastAsia" w:ascii="仿宋" w:hAnsi="仿宋" w:eastAsia="仿宋" w:cs="仿宋"/>
              </w:rPr>
            </w:pPr>
            <w:r>
              <w:rPr>
                <w:rFonts w:hint="eastAsia" w:ascii="仿宋" w:hAnsi="仿宋" w:eastAsia="仿宋" w:cs="仿宋"/>
              </w:rPr>
              <w:t>规格型号：</w:t>
            </w:r>
          </w:p>
          <w:p w14:paraId="13C14B89">
            <w:pPr>
              <w:spacing w:line="360" w:lineRule="auto"/>
              <w:rPr>
                <w:rFonts w:hint="eastAsia" w:ascii="仿宋" w:hAnsi="仿宋" w:eastAsia="仿宋" w:cs="仿宋"/>
              </w:rPr>
            </w:pPr>
            <w:r>
              <w:rPr>
                <w:rFonts w:hint="eastAsia" w:ascii="仿宋" w:hAnsi="仿宋" w:eastAsia="仿宋" w:cs="仿宋"/>
              </w:rPr>
              <w:t>数量：</w:t>
            </w:r>
          </w:p>
          <w:p w14:paraId="4D106753">
            <w:pPr>
              <w:spacing w:line="360" w:lineRule="auto"/>
              <w:rPr>
                <w:rFonts w:hint="eastAsia" w:ascii="仿宋" w:hAnsi="仿宋" w:eastAsia="仿宋" w:cs="仿宋"/>
              </w:rPr>
            </w:pPr>
            <w:r>
              <w:rPr>
                <w:rFonts w:hint="eastAsia" w:ascii="仿宋" w:hAnsi="仿宋" w:eastAsia="仿宋" w:cs="仿宋"/>
              </w:rPr>
              <w:t>单价：</w:t>
            </w:r>
          </w:p>
        </w:tc>
        <w:tc>
          <w:tcPr>
            <w:tcW w:w="4596" w:type="dxa"/>
            <w:noWrap w:val="0"/>
            <w:vAlign w:val="top"/>
          </w:tcPr>
          <w:p w14:paraId="415B5866">
            <w:pPr>
              <w:spacing w:line="360" w:lineRule="auto"/>
              <w:rPr>
                <w:rFonts w:hint="eastAsia" w:ascii="仿宋" w:hAnsi="仿宋" w:eastAsia="仿宋" w:cs="仿宋"/>
              </w:rPr>
            </w:pPr>
            <w:r>
              <w:rPr>
                <w:rFonts w:hint="eastAsia" w:ascii="仿宋" w:hAnsi="仿宋" w:eastAsia="仿宋" w:cs="仿宋"/>
              </w:rPr>
              <w:t>名称：</w:t>
            </w:r>
          </w:p>
          <w:p w14:paraId="3E2539CF">
            <w:pPr>
              <w:spacing w:line="360" w:lineRule="auto"/>
              <w:rPr>
                <w:rFonts w:hint="eastAsia" w:ascii="仿宋" w:hAnsi="仿宋" w:eastAsia="仿宋" w:cs="仿宋"/>
              </w:rPr>
            </w:pPr>
            <w:r>
              <w:rPr>
                <w:rFonts w:hint="eastAsia" w:ascii="仿宋" w:hAnsi="仿宋" w:eastAsia="仿宋" w:cs="仿宋"/>
              </w:rPr>
              <w:t>服务范围：</w:t>
            </w:r>
          </w:p>
          <w:p w14:paraId="4BDEC78F">
            <w:pPr>
              <w:spacing w:line="360" w:lineRule="auto"/>
              <w:rPr>
                <w:rFonts w:hint="eastAsia" w:ascii="仿宋" w:hAnsi="仿宋" w:eastAsia="仿宋" w:cs="仿宋"/>
                <w:u w:val="single"/>
              </w:rPr>
            </w:pPr>
            <w:r>
              <w:rPr>
                <w:rFonts w:hint="eastAsia" w:ascii="仿宋" w:hAnsi="仿宋" w:eastAsia="仿宋" w:cs="仿宋"/>
              </w:rPr>
              <w:t>服务要求：</w:t>
            </w:r>
          </w:p>
          <w:p w14:paraId="04EB5401">
            <w:pPr>
              <w:spacing w:line="360" w:lineRule="auto"/>
              <w:rPr>
                <w:rFonts w:hint="eastAsia" w:ascii="仿宋" w:hAnsi="仿宋" w:eastAsia="仿宋" w:cs="仿宋"/>
                <w:u w:val="single"/>
              </w:rPr>
            </w:pPr>
            <w:r>
              <w:rPr>
                <w:rFonts w:hint="eastAsia" w:ascii="仿宋" w:hAnsi="仿宋" w:eastAsia="仿宋" w:cs="仿宋"/>
              </w:rPr>
              <w:t>服务时间：</w:t>
            </w:r>
          </w:p>
          <w:p w14:paraId="6CE14120">
            <w:pPr>
              <w:spacing w:line="360" w:lineRule="auto"/>
              <w:rPr>
                <w:rFonts w:hint="eastAsia" w:ascii="仿宋" w:hAnsi="仿宋" w:eastAsia="仿宋" w:cs="仿宋"/>
              </w:rPr>
            </w:pPr>
            <w:r>
              <w:rPr>
                <w:rFonts w:hint="eastAsia" w:ascii="仿宋" w:hAnsi="仿宋" w:eastAsia="仿宋" w:cs="仿宋"/>
              </w:rPr>
              <w:t>服务标准：</w:t>
            </w:r>
          </w:p>
        </w:tc>
      </w:tr>
    </w:tbl>
    <w:p w14:paraId="24F33FCE">
      <w:pPr>
        <w:widowControl/>
        <w:spacing w:line="360" w:lineRule="auto"/>
        <w:jc w:val="left"/>
        <w:rPr>
          <w:rFonts w:hint="eastAsia" w:ascii="仿宋" w:hAnsi="仿宋" w:eastAsia="仿宋" w:cs="仿宋"/>
          <w:sz w:val="24"/>
          <w:szCs w:val="24"/>
        </w:rPr>
      </w:pPr>
      <w:r>
        <w:rPr>
          <w:rFonts w:hint="eastAsia" w:ascii="仿宋" w:hAnsi="仿宋" w:eastAsia="仿宋" w:cs="仿宋"/>
          <w:sz w:val="24"/>
          <w:szCs w:val="24"/>
        </w:rPr>
        <w:br w:type="page" w:clear="all"/>
      </w:r>
    </w:p>
    <w:p w14:paraId="4E672F05">
      <w:pPr>
        <w:spacing w:line="360" w:lineRule="auto"/>
        <w:ind w:firstLine="211"/>
        <w:jc w:val="center"/>
        <w:rPr>
          <w:rFonts w:hint="eastAsia" w:ascii="仿宋" w:hAnsi="仿宋" w:eastAsia="仿宋" w:cs="仿宋"/>
          <w:b/>
        </w:rPr>
      </w:pPr>
      <w:r>
        <w:rPr>
          <w:rFonts w:hint="eastAsia" w:ascii="仿宋" w:hAnsi="仿宋" w:eastAsia="仿宋" w:cs="仿宋"/>
          <w:b/>
        </w:rPr>
        <w:t>联合体协议（如有）</w:t>
      </w:r>
    </w:p>
    <w:p w14:paraId="213CBAF0">
      <w:pPr>
        <w:spacing w:line="360" w:lineRule="auto"/>
        <w:ind w:firstLine="211"/>
        <w:jc w:val="center"/>
        <w:rPr>
          <w:rFonts w:hint="eastAsia" w:ascii="仿宋" w:hAnsi="仿宋" w:eastAsia="仿宋" w:cs="仿宋"/>
          <w:b/>
        </w:rPr>
      </w:pPr>
    </w:p>
    <w:p w14:paraId="04875046">
      <w:pPr>
        <w:spacing w:line="360" w:lineRule="auto"/>
        <w:rPr>
          <w:rFonts w:hint="eastAsia" w:ascii="仿宋" w:hAnsi="仿宋" w:eastAsia="仿宋" w:cs="仿宋"/>
        </w:rPr>
      </w:pPr>
      <w:r>
        <w:rPr>
          <w:rFonts w:hint="eastAsia" w:ascii="仿宋" w:hAnsi="仿宋" w:eastAsia="仿宋" w:cs="仿宋"/>
        </w:rPr>
        <w:t>（联合体中各供应商全称）在此达成以下协议：</w:t>
      </w:r>
    </w:p>
    <w:p w14:paraId="46BF76F9">
      <w:pPr>
        <w:spacing w:line="360" w:lineRule="auto"/>
        <w:ind w:firstLine="645"/>
        <w:rPr>
          <w:rFonts w:hint="eastAsia" w:ascii="仿宋" w:hAnsi="仿宋" w:eastAsia="仿宋" w:cs="仿宋"/>
          <w:color w:val="FF0000"/>
        </w:rPr>
      </w:pPr>
      <w:r>
        <w:rPr>
          <w:rFonts w:hint="eastAsia" w:ascii="仿宋" w:hAnsi="仿宋" w:eastAsia="仿宋" w:cs="仿宋"/>
        </w:rPr>
        <w:t>1、我们自愿组成联合体，参加（代理公司）组织的采购编号为</w:t>
      </w:r>
      <w:r>
        <w:rPr>
          <w:rFonts w:hint="eastAsia" w:ascii="仿宋" w:hAnsi="仿宋" w:eastAsia="仿宋" w:cs="仿宋"/>
          <w:color w:val="000000"/>
        </w:rPr>
        <w:t>（项目编号）</w:t>
      </w:r>
      <w:r>
        <w:rPr>
          <w:rFonts w:hint="eastAsia" w:ascii="仿宋" w:hAnsi="仿宋" w:eastAsia="仿宋" w:cs="仿宋"/>
        </w:rPr>
        <w:t>（项目全称）的政府采购活动。</w:t>
      </w:r>
    </w:p>
    <w:p w14:paraId="7B19290C">
      <w:pPr>
        <w:spacing w:line="360" w:lineRule="auto"/>
        <w:ind w:firstLine="645"/>
        <w:rPr>
          <w:rFonts w:hint="eastAsia" w:ascii="仿宋" w:hAnsi="仿宋" w:eastAsia="仿宋" w:cs="仿宋"/>
        </w:rPr>
      </w:pPr>
      <w:r>
        <w:rPr>
          <w:rFonts w:hint="eastAsia" w:ascii="仿宋" w:hAnsi="仿宋" w:eastAsia="仿宋" w:cs="仿宋"/>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01A4C055">
      <w:pPr>
        <w:spacing w:line="360" w:lineRule="auto"/>
        <w:ind w:firstLine="645"/>
        <w:rPr>
          <w:rFonts w:hint="eastAsia" w:ascii="仿宋" w:hAnsi="仿宋" w:eastAsia="仿宋" w:cs="仿宋"/>
          <w:lang w:eastAsia="zh-CN"/>
        </w:rPr>
      </w:pPr>
    </w:p>
    <w:p w14:paraId="19B13E38">
      <w:pPr>
        <w:spacing w:line="360" w:lineRule="auto"/>
        <w:ind w:firstLine="4620"/>
        <w:rPr>
          <w:rFonts w:hint="eastAsia" w:ascii="仿宋" w:hAnsi="仿宋" w:eastAsia="仿宋" w:cs="仿宋"/>
        </w:rPr>
      </w:pPr>
      <w:r>
        <w:rPr>
          <w:rFonts w:hint="eastAsia" w:ascii="仿宋" w:hAnsi="仿宋" w:eastAsia="仿宋" w:cs="仿宋"/>
        </w:rPr>
        <w:t>所有供应商全称：</w:t>
      </w:r>
    </w:p>
    <w:p w14:paraId="0D184D94">
      <w:pPr>
        <w:spacing w:line="360" w:lineRule="auto"/>
        <w:ind w:firstLine="645"/>
        <w:rPr>
          <w:rFonts w:hint="eastAsia" w:ascii="仿宋" w:hAnsi="仿宋" w:eastAsia="仿宋" w:cs="仿宋"/>
          <w:lang w:eastAsia="zh-CN"/>
        </w:rPr>
      </w:pPr>
      <w:r>
        <w:rPr>
          <w:rFonts w:hint="eastAsia" w:ascii="仿宋" w:hAnsi="仿宋" w:eastAsia="仿宋" w:cs="仿宋"/>
        </w:rPr>
        <w:t>法定代表人：</w:t>
      </w:r>
    </w:p>
    <w:p w14:paraId="0F29B466">
      <w:pPr>
        <w:spacing w:line="360" w:lineRule="auto"/>
        <w:ind w:firstLine="4620"/>
        <w:rPr>
          <w:rFonts w:hint="eastAsia" w:ascii="仿宋" w:hAnsi="仿宋" w:eastAsia="仿宋" w:cs="仿宋"/>
        </w:rPr>
      </w:pPr>
      <w:r>
        <w:rPr>
          <w:rFonts w:hint="eastAsia" w:ascii="仿宋" w:hAnsi="仿宋" w:eastAsia="仿宋" w:cs="仿宋"/>
        </w:rPr>
        <w:t>日期：</w:t>
      </w:r>
    </w:p>
    <w:sectPr>
      <w:footerReference r:id="rId8" w:type="default"/>
      <w:pgSz w:w="11906" w:h="16838"/>
      <w:pgMar w:top="1134" w:right="1134" w:bottom="1134" w:left="1134"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楷体_GBK">
    <w:altName w:val="微软雅黑"/>
    <w:panose1 w:val="02000000000000000000"/>
    <w:charset w:val="86"/>
    <w:family w:val="auto"/>
    <w:pitch w:val="default"/>
    <w:sig w:usb0="00000000" w:usb1="00000000" w:usb2="00000016" w:usb3="00000000" w:csb0="00040000" w:csb1="00000000"/>
  </w:font>
  <w:font w:name="微软雅黑">
    <w:panose1 w:val="020B0503020204020204"/>
    <w:charset w:val="86"/>
    <w:family w:val="auto"/>
    <w:pitch w:val="default"/>
    <w:sig w:usb0="80000287" w:usb1="2ACF3C50" w:usb2="00000016" w:usb3="00000000" w:csb0="0004001F" w:csb1="00000000"/>
  </w:font>
  <w:font w:name="Book Antiqua">
    <w:panose1 w:val="02040602050305030304"/>
    <w:charset w:val="00"/>
    <w:family w:val="auto"/>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ED66C">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80F3B">
    <w:pPr>
      <w:pStyle w:val="27"/>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C57A08">
                          <w:pPr>
                            <w:pStyle w:val="2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2C57A08">
                    <w:pPr>
                      <w:pStyle w:val="2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C1765">
    <w:pPr>
      <w:pStyle w:val="21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190AB0">
                          <w:pPr>
                            <w:pStyle w:val="217"/>
                            <w:jc w:val="center"/>
                          </w:pPr>
                          <w:r>
                            <w:fldChar w:fldCharType="begin"/>
                          </w:r>
                          <w:r>
                            <w:instrText xml:space="preserve">PAGE   \* MERGEFORMAT</w:instrText>
                          </w:r>
                          <w:r>
                            <w:fldChar w:fldCharType="separate"/>
                          </w:r>
                          <w:r>
                            <w:rPr>
                              <w:lang w:val="zh-CN"/>
                            </w:rP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D190AB0">
                    <w:pPr>
                      <w:pStyle w:val="217"/>
                      <w:jc w:val="center"/>
                    </w:pPr>
                    <w:r>
                      <w:fldChar w:fldCharType="begin"/>
                    </w:r>
                    <w:r>
                      <w:instrText xml:space="preserve">PAGE   \* MERGEFORMAT</w:instrText>
                    </w:r>
                    <w:r>
                      <w:fldChar w:fldCharType="separate"/>
                    </w:r>
                    <w:r>
                      <w:rPr>
                        <w:lang w:val="zh-CN"/>
                      </w:rPr>
                      <w:t>31</w:t>
                    </w:r>
                    <w:r>
                      <w:fldChar w:fldCharType="end"/>
                    </w:r>
                  </w:p>
                </w:txbxContent>
              </v:textbox>
            </v:shape>
          </w:pict>
        </mc:Fallback>
      </mc:AlternateContent>
    </w:r>
  </w:p>
  <w:p w14:paraId="0DE992F5">
    <w:pPr>
      <w:pStyle w:val="2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AFC89">
    <w:pPr>
      <w:pStyle w:val="21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443A4">
                          <w:pPr>
                            <w:pStyle w:val="217"/>
                            <w:jc w:val="center"/>
                          </w:pPr>
                          <w:r>
                            <w:fldChar w:fldCharType="begin"/>
                          </w:r>
                          <w:r>
                            <w:instrText xml:space="preserve">PAGE   \* MERGEFORMAT</w:instrText>
                          </w:r>
                          <w:r>
                            <w:fldChar w:fldCharType="separate"/>
                          </w:r>
                          <w:r>
                            <w:rPr>
                              <w:lang w:val="zh-CN"/>
                            </w:rP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06443A4">
                    <w:pPr>
                      <w:pStyle w:val="217"/>
                      <w:jc w:val="center"/>
                    </w:pPr>
                    <w:r>
                      <w:fldChar w:fldCharType="begin"/>
                    </w:r>
                    <w:r>
                      <w:instrText xml:space="preserve">PAGE   \* MERGEFORMAT</w:instrText>
                    </w:r>
                    <w:r>
                      <w:fldChar w:fldCharType="separate"/>
                    </w:r>
                    <w:r>
                      <w:rPr>
                        <w:lang w:val="zh-CN"/>
                      </w:rPr>
                      <w:t>46</w:t>
                    </w:r>
                    <w:r>
                      <w:fldChar w:fldCharType="end"/>
                    </w:r>
                  </w:p>
                </w:txbxContent>
              </v:textbox>
            </v:shape>
          </w:pict>
        </mc:Fallback>
      </mc:AlternateContent>
    </w:r>
  </w:p>
  <w:p w14:paraId="5CDFA3E5">
    <w:pPr>
      <w:pStyle w:val="2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22F3E">
    <w:pPr>
      <w:pStyle w:val="219"/>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BF90B">
    <w:pPr>
      <w:pStyle w:val="219"/>
      <w:rPr>
        <w:rFonts w:hint="eastAsia"/>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A414A8"/>
    <w:multiLevelType w:val="multilevel"/>
    <w:tmpl w:val="A6A414A8"/>
    <w:lvl w:ilvl="0" w:tentative="0">
      <w:start w:val="1"/>
      <w:numFmt w:val="bullet"/>
      <w:pStyle w:val="47"/>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7655427"/>
    <w:multiLevelType w:val="singleLevel"/>
    <w:tmpl w:val="B7655427"/>
    <w:lvl w:ilvl="0" w:tentative="0">
      <w:start w:val="1"/>
      <w:numFmt w:val="decimal"/>
      <w:suff w:val="nothing"/>
      <w:lvlText w:val="%1、"/>
      <w:lvlJc w:val="left"/>
    </w:lvl>
  </w:abstractNum>
  <w:abstractNum w:abstractNumId="2">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A439F36"/>
    <w:multiLevelType w:val="singleLevel"/>
    <w:tmpl w:val="0A439F36"/>
    <w:lvl w:ilvl="0" w:tentative="0">
      <w:start w:val="5"/>
      <w:numFmt w:val="decimal"/>
      <w:suff w:val="nothing"/>
      <w:lvlText w:val="%1、"/>
      <w:lvlJc w:val="left"/>
    </w:lvl>
  </w:abstractNum>
  <w:abstractNum w:abstractNumId="4">
    <w:nsid w:val="2E26208F"/>
    <w:multiLevelType w:val="multilevel"/>
    <w:tmpl w:val="2E26208F"/>
    <w:lvl w:ilvl="0" w:tentative="0">
      <w:start w:val="1"/>
      <w:numFmt w:val="decimal"/>
      <w:pStyle w:val="252"/>
      <w:suff w:val="nothing"/>
      <w:lvlText w:val="%1."/>
      <w:lvlJc w:val="left"/>
      <w:pPr>
        <w:ind w:left="0" w:firstLine="0"/>
      </w:pPr>
      <w:rPr>
        <w:rFonts w:hint="eastAsia"/>
      </w:rPr>
    </w:lvl>
    <w:lvl w:ilvl="1" w:tentative="0">
      <w:start w:val="1"/>
      <w:numFmt w:val="decimal"/>
      <w:pStyle w:val="254"/>
      <w:suff w:val="nothing"/>
      <w:lvlText w:val="%1.%2."/>
      <w:lvlJc w:val="left"/>
      <w:pPr>
        <w:ind w:left="0" w:firstLine="0"/>
      </w:pPr>
      <w:rPr>
        <w:rFonts w:hint="eastAsia" w:cs="Times New Roman"/>
        <w:i w:val="0"/>
        <w:iCs w:val="0"/>
        <w:caps w:val="0"/>
        <w:smallCaps w:val="0"/>
        <w:strike w:val="0"/>
        <w:dstrike w:val="0"/>
        <w:spacing w:val="0"/>
        <w:position w:val="0"/>
        <w:u w:val="none"/>
      </w:rPr>
    </w:lvl>
    <w:lvl w:ilvl="2" w:tentative="0">
      <w:start w:val="1"/>
      <w:numFmt w:val="decimal"/>
      <w:suff w:val="nothing"/>
      <w:lvlText w:val="%1.%2.%3."/>
      <w:lvlJc w:val="left"/>
      <w:pPr>
        <w:ind w:left="0" w:firstLine="0"/>
      </w:pPr>
      <w:rPr>
        <w:rFonts w:hint="eastAsia"/>
      </w:rPr>
    </w:lvl>
    <w:lvl w:ilvl="3" w:tentative="0">
      <w:start w:val="1"/>
      <w:numFmt w:val="decimal"/>
      <w:suff w:val="nothing"/>
      <w:lvlText w:val="%1.%2.%3.%4."/>
      <w:lvlJc w:val="left"/>
      <w:pPr>
        <w:ind w:left="425" w:firstLine="0"/>
      </w:pPr>
      <w:rPr>
        <w:rFonts w:hint="eastAsia" w:cs="Times New Roman"/>
        <w:b w:val="0"/>
        <w:bCs w:val="0"/>
        <w:i w:val="0"/>
        <w:iCs w:val="0"/>
        <w:caps w:val="0"/>
        <w:smallCaps w:val="0"/>
        <w:strike w:val="0"/>
        <w:dstrike w:val="0"/>
        <w:spacing w:val="0"/>
        <w:kern w:val="0"/>
        <w:position w:val="0"/>
        <w:u w:val="none"/>
      </w:rPr>
    </w:lvl>
    <w:lvl w:ilvl="4" w:tentative="0">
      <w:start w:val="1"/>
      <w:numFmt w:val="decimal"/>
      <w:suff w:val="nothing"/>
      <w:lvlText w:val="%1.%2.%3.%4.%5."/>
      <w:lvlJc w:val="left"/>
      <w:pPr>
        <w:ind w:left="0" w:firstLine="0"/>
      </w:pPr>
      <w:rPr>
        <w:rFonts w:hint="eastAsia" w:cs="Times New Roman"/>
        <w:i w:val="0"/>
        <w:iCs w:val="0"/>
        <w:caps w:val="0"/>
        <w:smallCaps w:val="0"/>
        <w:strike w:val="0"/>
        <w:dstrike w:val="0"/>
        <w:spacing w:val="0"/>
        <w:kern w:val="0"/>
        <w:position w:val="0"/>
        <w:u w:val="none"/>
        <w:lang w:val="zh-CN" w:eastAsia="zh-CN"/>
      </w:rPr>
    </w:lvl>
    <w:lvl w:ilvl="5" w:tentative="0">
      <w:start w:val="1"/>
      <w:numFmt w:val="decimal"/>
      <w:suff w:val="nothing"/>
      <w:lvlText w:val="%1.%2.%3.%4.%5.%6."/>
      <w:lvlJc w:val="left"/>
      <w:pPr>
        <w:ind w:left="0" w:firstLine="0"/>
      </w:pPr>
      <w:rPr>
        <w:rFonts w:hint="eastAsia"/>
      </w:rPr>
    </w:lvl>
    <w:lvl w:ilvl="6" w:tentative="0">
      <w:start w:val="1"/>
      <w:numFmt w:val="decimal"/>
      <w:suff w:val="nothing"/>
      <w:lvlText w:val="%1.%2.%3.%4.%5.%6.%7."/>
      <w:lvlJc w:val="left"/>
      <w:pPr>
        <w:ind w:left="0" w:firstLine="0"/>
      </w:pPr>
      <w:rPr>
        <w:rFonts w:hint="eastAsia"/>
      </w:rPr>
    </w:lvl>
    <w:lvl w:ilvl="7" w:tentative="0">
      <w:start w:val="1"/>
      <w:numFmt w:val="decimal"/>
      <w:suff w:val="nothing"/>
      <w:lvlText w:val="%1.%2.%3.%4.%5.%6.%7.%8."/>
      <w:lvlJc w:val="left"/>
      <w:pPr>
        <w:ind w:left="0" w:firstLine="0"/>
      </w:pPr>
      <w:rPr>
        <w:rFonts w:hint="eastAsia"/>
      </w:rPr>
    </w:lvl>
    <w:lvl w:ilvl="8" w:tentative="0">
      <w:start w:val="1"/>
      <w:numFmt w:val="decimal"/>
      <w:suff w:val="nothing"/>
      <w:lvlText w:val="%1.%2.%3.%4.%5.%6.%7.%8.%9."/>
      <w:lvlJc w:val="left"/>
      <w:pPr>
        <w:ind w:left="0" w:firstLine="0"/>
      </w:pPr>
      <w:rPr>
        <w:rFonts w:hint="eastAsia"/>
      </w:rPr>
    </w:lvl>
  </w:abstractNum>
  <w:abstractNum w:abstractNumId="5">
    <w:nsid w:val="4667BBBB"/>
    <w:multiLevelType w:val="singleLevel"/>
    <w:tmpl w:val="4667BBBB"/>
    <w:lvl w:ilvl="0" w:tentative="0">
      <w:start w:val="1"/>
      <w:numFmt w:val="bullet"/>
      <w:pStyle w:val="22"/>
      <w:lvlText w:val=""/>
      <w:lvlJc w:val="left"/>
      <w:pPr>
        <w:tabs>
          <w:tab w:val="left" w:pos="780"/>
        </w:tabs>
        <w:ind w:left="780" w:hanging="360"/>
      </w:pPr>
      <w:rPr>
        <w:rFonts w:hint="default" w:ascii="Wingdings" w:hAnsi="Wingdings"/>
      </w:r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5NTkwMDczOTc4YTk1Yjk3OTljNDhmNDA5MmEzNzkifQ=="/>
  </w:docVars>
  <w:rsids>
    <w:rsidRoot w:val="00000000"/>
    <w:rsid w:val="00382DEE"/>
    <w:rsid w:val="0078768E"/>
    <w:rsid w:val="00B25DFB"/>
    <w:rsid w:val="00D44DDF"/>
    <w:rsid w:val="00E442E6"/>
    <w:rsid w:val="018B23A4"/>
    <w:rsid w:val="018E7169"/>
    <w:rsid w:val="019F1377"/>
    <w:rsid w:val="01BD22C8"/>
    <w:rsid w:val="02313F99"/>
    <w:rsid w:val="0250717E"/>
    <w:rsid w:val="027775F5"/>
    <w:rsid w:val="028B36A9"/>
    <w:rsid w:val="0297204E"/>
    <w:rsid w:val="02A85C19"/>
    <w:rsid w:val="02CB1CF7"/>
    <w:rsid w:val="02F1344B"/>
    <w:rsid w:val="02FD7859"/>
    <w:rsid w:val="02FF3386"/>
    <w:rsid w:val="03125B78"/>
    <w:rsid w:val="033755DF"/>
    <w:rsid w:val="03461070"/>
    <w:rsid w:val="034D095E"/>
    <w:rsid w:val="03577A2F"/>
    <w:rsid w:val="03912F41"/>
    <w:rsid w:val="03B834E2"/>
    <w:rsid w:val="03DD7F34"/>
    <w:rsid w:val="04207E21"/>
    <w:rsid w:val="04372817"/>
    <w:rsid w:val="043D6C25"/>
    <w:rsid w:val="047F723D"/>
    <w:rsid w:val="04934A97"/>
    <w:rsid w:val="04AC0397"/>
    <w:rsid w:val="04B86D16"/>
    <w:rsid w:val="04CE6DA6"/>
    <w:rsid w:val="04ED064B"/>
    <w:rsid w:val="05120274"/>
    <w:rsid w:val="055E6E53"/>
    <w:rsid w:val="05706B86"/>
    <w:rsid w:val="05D830A9"/>
    <w:rsid w:val="05DB04A3"/>
    <w:rsid w:val="061C4B26"/>
    <w:rsid w:val="06287461"/>
    <w:rsid w:val="062956B3"/>
    <w:rsid w:val="06451DC1"/>
    <w:rsid w:val="06B75171"/>
    <w:rsid w:val="06FC2DC7"/>
    <w:rsid w:val="07027CB2"/>
    <w:rsid w:val="072145DC"/>
    <w:rsid w:val="073360BD"/>
    <w:rsid w:val="076D5A73"/>
    <w:rsid w:val="082779D0"/>
    <w:rsid w:val="0857450E"/>
    <w:rsid w:val="087B5F6E"/>
    <w:rsid w:val="088968DD"/>
    <w:rsid w:val="08CB03C4"/>
    <w:rsid w:val="08D062B9"/>
    <w:rsid w:val="08FF26FB"/>
    <w:rsid w:val="09325C1F"/>
    <w:rsid w:val="09574E03"/>
    <w:rsid w:val="0965025A"/>
    <w:rsid w:val="09867E3B"/>
    <w:rsid w:val="0A3D26A0"/>
    <w:rsid w:val="0A5F44DD"/>
    <w:rsid w:val="0A6767AA"/>
    <w:rsid w:val="0A683E48"/>
    <w:rsid w:val="0A794631"/>
    <w:rsid w:val="0AD55E09"/>
    <w:rsid w:val="0B00275A"/>
    <w:rsid w:val="0B147B56"/>
    <w:rsid w:val="0B334FD6"/>
    <w:rsid w:val="0B5C5BE2"/>
    <w:rsid w:val="0B720CBA"/>
    <w:rsid w:val="0BB22DB0"/>
    <w:rsid w:val="0BB95E58"/>
    <w:rsid w:val="0BE076EE"/>
    <w:rsid w:val="0BE47BB0"/>
    <w:rsid w:val="0C1E2371"/>
    <w:rsid w:val="0C236700"/>
    <w:rsid w:val="0C525A3B"/>
    <w:rsid w:val="0D1D3A97"/>
    <w:rsid w:val="0DA90E87"/>
    <w:rsid w:val="0EE066F8"/>
    <w:rsid w:val="0F0B2A8C"/>
    <w:rsid w:val="0FA01116"/>
    <w:rsid w:val="0FC81FC1"/>
    <w:rsid w:val="0FF617A3"/>
    <w:rsid w:val="0FF860F6"/>
    <w:rsid w:val="10022AD1"/>
    <w:rsid w:val="101173EF"/>
    <w:rsid w:val="101A606C"/>
    <w:rsid w:val="10306962"/>
    <w:rsid w:val="10802373"/>
    <w:rsid w:val="10C85AC8"/>
    <w:rsid w:val="10D820B6"/>
    <w:rsid w:val="110E715B"/>
    <w:rsid w:val="112A6193"/>
    <w:rsid w:val="11716160"/>
    <w:rsid w:val="11BD75F7"/>
    <w:rsid w:val="12274A70"/>
    <w:rsid w:val="1235718D"/>
    <w:rsid w:val="1237397E"/>
    <w:rsid w:val="125A606E"/>
    <w:rsid w:val="12ED1816"/>
    <w:rsid w:val="130D1EB8"/>
    <w:rsid w:val="13AA6237"/>
    <w:rsid w:val="13D33102"/>
    <w:rsid w:val="14293859"/>
    <w:rsid w:val="14327E28"/>
    <w:rsid w:val="14830CF0"/>
    <w:rsid w:val="14B2786C"/>
    <w:rsid w:val="14C44E68"/>
    <w:rsid w:val="14F518CF"/>
    <w:rsid w:val="14FB5517"/>
    <w:rsid w:val="15316332"/>
    <w:rsid w:val="15400323"/>
    <w:rsid w:val="15512530"/>
    <w:rsid w:val="156A1844"/>
    <w:rsid w:val="159D0CC2"/>
    <w:rsid w:val="15C26F8A"/>
    <w:rsid w:val="15DF5D8E"/>
    <w:rsid w:val="15E2587E"/>
    <w:rsid w:val="16175528"/>
    <w:rsid w:val="16663DB9"/>
    <w:rsid w:val="174722BD"/>
    <w:rsid w:val="174A5A78"/>
    <w:rsid w:val="17787D90"/>
    <w:rsid w:val="17800EAB"/>
    <w:rsid w:val="1780176A"/>
    <w:rsid w:val="17977486"/>
    <w:rsid w:val="17A74689"/>
    <w:rsid w:val="17CA4AB5"/>
    <w:rsid w:val="17DA4A5F"/>
    <w:rsid w:val="17F72AB1"/>
    <w:rsid w:val="184438A7"/>
    <w:rsid w:val="184A3267"/>
    <w:rsid w:val="186D58D3"/>
    <w:rsid w:val="18736C61"/>
    <w:rsid w:val="18A1557C"/>
    <w:rsid w:val="18CB43A7"/>
    <w:rsid w:val="18E22F98"/>
    <w:rsid w:val="1924570B"/>
    <w:rsid w:val="19C84D8B"/>
    <w:rsid w:val="19CC2D42"/>
    <w:rsid w:val="19E01483"/>
    <w:rsid w:val="1A7647E7"/>
    <w:rsid w:val="1AEE25CF"/>
    <w:rsid w:val="1B272D41"/>
    <w:rsid w:val="1B37072C"/>
    <w:rsid w:val="1B3A75C2"/>
    <w:rsid w:val="1B7725C5"/>
    <w:rsid w:val="1B897D2E"/>
    <w:rsid w:val="1B9F6EE7"/>
    <w:rsid w:val="1BC455E7"/>
    <w:rsid w:val="1BEF2AA3"/>
    <w:rsid w:val="1BFE4A94"/>
    <w:rsid w:val="1C5C0C19"/>
    <w:rsid w:val="1C5F3784"/>
    <w:rsid w:val="1C710E65"/>
    <w:rsid w:val="1CD26AA7"/>
    <w:rsid w:val="1D2969AD"/>
    <w:rsid w:val="1D792624"/>
    <w:rsid w:val="1DA376A1"/>
    <w:rsid w:val="1DB45D52"/>
    <w:rsid w:val="1E1B44E3"/>
    <w:rsid w:val="1E291247"/>
    <w:rsid w:val="1E7A42B4"/>
    <w:rsid w:val="1EAA2CB1"/>
    <w:rsid w:val="1F204D21"/>
    <w:rsid w:val="1F6B68E4"/>
    <w:rsid w:val="1F772CD2"/>
    <w:rsid w:val="1FA2456E"/>
    <w:rsid w:val="1FB243AB"/>
    <w:rsid w:val="1FC558A4"/>
    <w:rsid w:val="1FF04A0B"/>
    <w:rsid w:val="1FF45575"/>
    <w:rsid w:val="203A760F"/>
    <w:rsid w:val="205E030D"/>
    <w:rsid w:val="20765541"/>
    <w:rsid w:val="208C07F1"/>
    <w:rsid w:val="20983709"/>
    <w:rsid w:val="20CF7161"/>
    <w:rsid w:val="20E73D48"/>
    <w:rsid w:val="210466A8"/>
    <w:rsid w:val="21F77FBB"/>
    <w:rsid w:val="224005CF"/>
    <w:rsid w:val="22714212"/>
    <w:rsid w:val="22C2681B"/>
    <w:rsid w:val="22CA3922"/>
    <w:rsid w:val="230C2BB1"/>
    <w:rsid w:val="231057D9"/>
    <w:rsid w:val="23353491"/>
    <w:rsid w:val="236C49D9"/>
    <w:rsid w:val="23897339"/>
    <w:rsid w:val="23F8626D"/>
    <w:rsid w:val="240D3AC6"/>
    <w:rsid w:val="24155071"/>
    <w:rsid w:val="242E465A"/>
    <w:rsid w:val="24912949"/>
    <w:rsid w:val="24946E92"/>
    <w:rsid w:val="252C08C4"/>
    <w:rsid w:val="25506360"/>
    <w:rsid w:val="25916979"/>
    <w:rsid w:val="25D15009"/>
    <w:rsid w:val="263A0DBE"/>
    <w:rsid w:val="264B2324"/>
    <w:rsid w:val="26560160"/>
    <w:rsid w:val="267E6EFD"/>
    <w:rsid w:val="26995AE5"/>
    <w:rsid w:val="269B185D"/>
    <w:rsid w:val="26F43636"/>
    <w:rsid w:val="26F448A9"/>
    <w:rsid w:val="2707220D"/>
    <w:rsid w:val="270A253F"/>
    <w:rsid w:val="272051A9"/>
    <w:rsid w:val="27233601"/>
    <w:rsid w:val="27945AC7"/>
    <w:rsid w:val="27A50B7C"/>
    <w:rsid w:val="27C22E19"/>
    <w:rsid w:val="27E40FE2"/>
    <w:rsid w:val="27F531EF"/>
    <w:rsid w:val="28125B4F"/>
    <w:rsid w:val="285A12A4"/>
    <w:rsid w:val="28666C3A"/>
    <w:rsid w:val="286B34B1"/>
    <w:rsid w:val="286E4D4F"/>
    <w:rsid w:val="28B60BD0"/>
    <w:rsid w:val="28CB21A2"/>
    <w:rsid w:val="28CD76CA"/>
    <w:rsid w:val="28EC45F2"/>
    <w:rsid w:val="28F03DAA"/>
    <w:rsid w:val="28FB251B"/>
    <w:rsid w:val="2946266B"/>
    <w:rsid w:val="29712D49"/>
    <w:rsid w:val="29AE5D4B"/>
    <w:rsid w:val="29BD5F8E"/>
    <w:rsid w:val="29CB06AB"/>
    <w:rsid w:val="29D15596"/>
    <w:rsid w:val="29DB01C2"/>
    <w:rsid w:val="29E57F90"/>
    <w:rsid w:val="2A005E7B"/>
    <w:rsid w:val="2A193694"/>
    <w:rsid w:val="2A53244F"/>
    <w:rsid w:val="2A8820F8"/>
    <w:rsid w:val="2B1A4A5F"/>
    <w:rsid w:val="2B404781"/>
    <w:rsid w:val="2B4225B8"/>
    <w:rsid w:val="2BDD6474"/>
    <w:rsid w:val="2C0954BB"/>
    <w:rsid w:val="2C2478F5"/>
    <w:rsid w:val="2C701096"/>
    <w:rsid w:val="2C8903AA"/>
    <w:rsid w:val="2D406CBA"/>
    <w:rsid w:val="2D613E62"/>
    <w:rsid w:val="2D616C31"/>
    <w:rsid w:val="2DA27975"/>
    <w:rsid w:val="2DD85145"/>
    <w:rsid w:val="2E2C5491"/>
    <w:rsid w:val="2E3B42D9"/>
    <w:rsid w:val="2E3D58F0"/>
    <w:rsid w:val="2EB478EC"/>
    <w:rsid w:val="2EC12A03"/>
    <w:rsid w:val="2F0957D2"/>
    <w:rsid w:val="2F106B60"/>
    <w:rsid w:val="2F38436F"/>
    <w:rsid w:val="2F903341"/>
    <w:rsid w:val="2FA84FEB"/>
    <w:rsid w:val="2FF67450"/>
    <w:rsid w:val="2FFD7EE2"/>
    <w:rsid w:val="301F52AD"/>
    <w:rsid w:val="302C79CA"/>
    <w:rsid w:val="305E56A9"/>
    <w:rsid w:val="3075311F"/>
    <w:rsid w:val="3077246A"/>
    <w:rsid w:val="30893C43"/>
    <w:rsid w:val="309612E7"/>
    <w:rsid w:val="313B5336"/>
    <w:rsid w:val="31F462C5"/>
    <w:rsid w:val="323B3EF4"/>
    <w:rsid w:val="3251706E"/>
    <w:rsid w:val="326F1DF0"/>
    <w:rsid w:val="3273346D"/>
    <w:rsid w:val="32F26CA9"/>
    <w:rsid w:val="333948D8"/>
    <w:rsid w:val="33435756"/>
    <w:rsid w:val="33AA5E3F"/>
    <w:rsid w:val="34435B1E"/>
    <w:rsid w:val="347D07F4"/>
    <w:rsid w:val="351A24E7"/>
    <w:rsid w:val="3534445A"/>
    <w:rsid w:val="35415CC5"/>
    <w:rsid w:val="354228BA"/>
    <w:rsid w:val="35477F5F"/>
    <w:rsid w:val="35A77501"/>
    <w:rsid w:val="35C506A4"/>
    <w:rsid w:val="35E30B2B"/>
    <w:rsid w:val="360601AF"/>
    <w:rsid w:val="36237179"/>
    <w:rsid w:val="3649461B"/>
    <w:rsid w:val="36687282"/>
    <w:rsid w:val="36940077"/>
    <w:rsid w:val="36BE6EA2"/>
    <w:rsid w:val="371A57F3"/>
    <w:rsid w:val="37481EB7"/>
    <w:rsid w:val="37504022"/>
    <w:rsid w:val="377F0D27"/>
    <w:rsid w:val="37B24C58"/>
    <w:rsid w:val="38084878"/>
    <w:rsid w:val="382611A3"/>
    <w:rsid w:val="386A108F"/>
    <w:rsid w:val="387C160A"/>
    <w:rsid w:val="38910D12"/>
    <w:rsid w:val="390D6091"/>
    <w:rsid w:val="393B1CEB"/>
    <w:rsid w:val="395E36CB"/>
    <w:rsid w:val="39A432FD"/>
    <w:rsid w:val="3A013C75"/>
    <w:rsid w:val="3A0B68A2"/>
    <w:rsid w:val="3A291355"/>
    <w:rsid w:val="3A5E2E76"/>
    <w:rsid w:val="3AA6102B"/>
    <w:rsid w:val="3AB931B0"/>
    <w:rsid w:val="3B3C5B1D"/>
    <w:rsid w:val="3B6D14BD"/>
    <w:rsid w:val="3B7D732B"/>
    <w:rsid w:val="3B7F30A4"/>
    <w:rsid w:val="3C2E6DCB"/>
    <w:rsid w:val="3C5211B5"/>
    <w:rsid w:val="3CB77085"/>
    <w:rsid w:val="3CC2593E"/>
    <w:rsid w:val="3D803103"/>
    <w:rsid w:val="3DB24C06"/>
    <w:rsid w:val="3E300685"/>
    <w:rsid w:val="3E3D1DE7"/>
    <w:rsid w:val="3E667952"/>
    <w:rsid w:val="3EB80BF7"/>
    <w:rsid w:val="3EBC016B"/>
    <w:rsid w:val="3ECC2AA4"/>
    <w:rsid w:val="3EE6343A"/>
    <w:rsid w:val="3EEB4C35"/>
    <w:rsid w:val="3EEF425A"/>
    <w:rsid w:val="3EF50C5D"/>
    <w:rsid w:val="3F673B52"/>
    <w:rsid w:val="3F676D7D"/>
    <w:rsid w:val="3F6E4B4C"/>
    <w:rsid w:val="40534AFF"/>
    <w:rsid w:val="40722B73"/>
    <w:rsid w:val="408E3D89"/>
    <w:rsid w:val="40C309FA"/>
    <w:rsid w:val="40EF2A79"/>
    <w:rsid w:val="41083B3B"/>
    <w:rsid w:val="413C2AA7"/>
    <w:rsid w:val="415723CD"/>
    <w:rsid w:val="420A2D4A"/>
    <w:rsid w:val="42750D5C"/>
    <w:rsid w:val="42752198"/>
    <w:rsid w:val="42AE0B77"/>
    <w:rsid w:val="42F04FAB"/>
    <w:rsid w:val="43374264"/>
    <w:rsid w:val="43486471"/>
    <w:rsid w:val="43F87E97"/>
    <w:rsid w:val="440A7BCA"/>
    <w:rsid w:val="44112D07"/>
    <w:rsid w:val="44307631"/>
    <w:rsid w:val="444B446B"/>
    <w:rsid w:val="44692CA3"/>
    <w:rsid w:val="44B1364B"/>
    <w:rsid w:val="456D124F"/>
    <w:rsid w:val="45A440D0"/>
    <w:rsid w:val="45E83F3B"/>
    <w:rsid w:val="45FE72BB"/>
    <w:rsid w:val="461F5C21"/>
    <w:rsid w:val="462C370D"/>
    <w:rsid w:val="46906253"/>
    <w:rsid w:val="46AF5364"/>
    <w:rsid w:val="46C16C66"/>
    <w:rsid w:val="47353820"/>
    <w:rsid w:val="47613FA5"/>
    <w:rsid w:val="478728BE"/>
    <w:rsid w:val="478B1022"/>
    <w:rsid w:val="47A0687C"/>
    <w:rsid w:val="47A7036E"/>
    <w:rsid w:val="47BE4F54"/>
    <w:rsid w:val="47D91D8D"/>
    <w:rsid w:val="47F70466"/>
    <w:rsid w:val="4803505C"/>
    <w:rsid w:val="48212C0D"/>
    <w:rsid w:val="48FA1FBB"/>
    <w:rsid w:val="490B1711"/>
    <w:rsid w:val="49477D06"/>
    <w:rsid w:val="49E25BEA"/>
    <w:rsid w:val="4A395D6A"/>
    <w:rsid w:val="4AA246B9"/>
    <w:rsid w:val="4AB03C62"/>
    <w:rsid w:val="4AC05487"/>
    <w:rsid w:val="4AE7656F"/>
    <w:rsid w:val="4B5D5815"/>
    <w:rsid w:val="4BB46D99"/>
    <w:rsid w:val="4BBA1EB1"/>
    <w:rsid w:val="4BD56D10"/>
    <w:rsid w:val="4C0D7D31"/>
    <w:rsid w:val="4C5E6D05"/>
    <w:rsid w:val="4C6649F0"/>
    <w:rsid w:val="4C7327B1"/>
    <w:rsid w:val="4C733567"/>
    <w:rsid w:val="4C97537F"/>
    <w:rsid w:val="4CA961D2"/>
    <w:rsid w:val="4CAE6E4B"/>
    <w:rsid w:val="4CC90623"/>
    <w:rsid w:val="4CCE3E8B"/>
    <w:rsid w:val="4D105959"/>
    <w:rsid w:val="4D477799"/>
    <w:rsid w:val="4D5B69AA"/>
    <w:rsid w:val="4DA14DFD"/>
    <w:rsid w:val="4DDE1EAC"/>
    <w:rsid w:val="4E141D71"/>
    <w:rsid w:val="4E1E674C"/>
    <w:rsid w:val="4EC30424"/>
    <w:rsid w:val="4ECA2430"/>
    <w:rsid w:val="4F0A0B7F"/>
    <w:rsid w:val="4F351F9F"/>
    <w:rsid w:val="4F4E3061"/>
    <w:rsid w:val="4F754A92"/>
    <w:rsid w:val="4F905428"/>
    <w:rsid w:val="4FAE60B5"/>
    <w:rsid w:val="4FE9146D"/>
    <w:rsid w:val="50285660"/>
    <w:rsid w:val="505F00E0"/>
    <w:rsid w:val="508B2713"/>
    <w:rsid w:val="50940F47"/>
    <w:rsid w:val="50946685"/>
    <w:rsid w:val="50D94BAC"/>
    <w:rsid w:val="5147420C"/>
    <w:rsid w:val="515A50D2"/>
    <w:rsid w:val="51CD32A5"/>
    <w:rsid w:val="51F53C68"/>
    <w:rsid w:val="51FD48CA"/>
    <w:rsid w:val="520E4D2A"/>
    <w:rsid w:val="523224A2"/>
    <w:rsid w:val="525F5585"/>
    <w:rsid w:val="52636E23"/>
    <w:rsid w:val="52783AFB"/>
    <w:rsid w:val="52BC0DA3"/>
    <w:rsid w:val="52F579C3"/>
    <w:rsid w:val="53202F66"/>
    <w:rsid w:val="533267F6"/>
    <w:rsid w:val="53560736"/>
    <w:rsid w:val="535B7AFB"/>
    <w:rsid w:val="53EC2E48"/>
    <w:rsid w:val="54044468"/>
    <w:rsid w:val="541A6387"/>
    <w:rsid w:val="548F48E4"/>
    <w:rsid w:val="54F177E8"/>
    <w:rsid w:val="55325486"/>
    <w:rsid w:val="555076EA"/>
    <w:rsid w:val="55D22BE6"/>
    <w:rsid w:val="55D63DB0"/>
    <w:rsid w:val="56024CBE"/>
    <w:rsid w:val="56335624"/>
    <w:rsid w:val="564B02FA"/>
    <w:rsid w:val="565C52C7"/>
    <w:rsid w:val="565C6063"/>
    <w:rsid w:val="568D0913"/>
    <w:rsid w:val="56D4209E"/>
    <w:rsid w:val="572748BC"/>
    <w:rsid w:val="57783371"/>
    <w:rsid w:val="57A75A04"/>
    <w:rsid w:val="57EF1159"/>
    <w:rsid w:val="57F97D56"/>
    <w:rsid w:val="58025DB7"/>
    <w:rsid w:val="58580AAD"/>
    <w:rsid w:val="588C0756"/>
    <w:rsid w:val="58937D37"/>
    <w:rsid w:val="589917F1"/>
    <w:rsid w:val="58B33F35"/>
    <w:rsid w:val="58C33086"/>
    <w:rsid w:val="58D2260D"/>
    <w:rsid w:val="58DC0E2A"/>
    <w:rsid w:val="58E42340"/>
    <w:rsid w:val="5928075D"/>
    <w:rsid w:val="593C4479"/>
    <w:rsid w:val="59DF5DD6"/>
    <w:rsid w:val="59F667CF"/>
    <w:rsid w:val="5A5A6D5E"/>
    <w:rsid w:val="5AD4491C"/>
    <w:rsid w:val="5ADF54B5"/>
    <w:rsid w:val="5B060C94"/>
    <w:rsid w:val="5B1D06C1"/>
    <w:rsid w:val="5B382A44"/>
    <w:rsid w:val="5B3C2907"/>
    <w:rsid w:val="5BC73706"/>
    <w:rsid w:val="5BE34B31"/>
    <w:rsid w:val="5BF64EAC"/>
    <w:rsid w:val="5C2F0079"/>
    <w:rsid w:val="5C332457"/>
    <w:rsid w:val="5C446B5A"/>
    <w:rsid w:val="5CFC40FC"/>
    <w:rsid w:val="5D0905C7"/>
    <w:rsid w:val="5D131446"/>
    <w:rsid w:val="5D2418A5"/>
    <w:rsid w:val="5D41020E"/>
    <w:rsid w:val="5E5D506F"/>
    <w:rsid w:val="5E8954E8"/>
    <w:rsid w:val="5E98139D"/>
    <w:rsid w:val="5EA22A38"/>
    <w:rsid w:val="5EB32EE1"/>
    <w:rsid w:val="5EB50BC1"/>
    <w:rsid w:val="5EFD0600"/>
    <w:rsid w:val="5F4D18F7"/>
    <w:rsid w:val="5F4E49B7"/>
    <w:rsid w:val="5FAB005C"/>
    <w:rsid w:val="5FBF1411"/>
    <w:rsid w:val="5FC66C44"/>
    <w:rsid w:val="6030331A"/>
    <w:rsid w:val="60536729"/>
    <w:rsid w:val="60765F74"/>
    <w:rsid w:val="607C0D31"/>
    <w:rsid w:val="608763D3"/>
    <w:rsid w:val="609D5BF6"/>
    <w:rsid w:val="60AD10DE"/>
    <w:rsid w:val="60D13AF2"/>
    <w:rsid w:val="60E727A5"/>
    <w:rsid w:val="613F0A5C"/>
    <w:rsid w:val="618967A2"/>
    <w:rsid w:val="618F19E3"/>
    <w:rsid w:val="619A0388"/>
    <w:rsid w:val="61A804DC"/>
    <w:rsid w:val="62832BCA"/>
    <w:rsid w:val="629A2237"/>
    <w:rsid w:val="629B6525"/>
    <w:rsid w:val="62BB05B6"/>
    <w:rsid w:val="62BD432E"/>
    <w:rsid w:val="63604101"/>
    <w:rsid w:val="638135AD"/>
    <w:rsid w:val="639257BA"/>
    <w:rsid w:val="63A66B70"/>
    <w:rsid w:val="63AA61D3"/>
    <w:rsid w:val="63C926D6"/>
    <w:rsid w:val="63CE7ACD"/>
    <w:rsid w:val="63E63410"/>
    <w:rsid w:val="63FC0E86"/>
    <w:rsid w:val="641F5CF2"/>
    <w:rsid w:val="64872FCD"/>
    <w:rsid w:val="64964E36"/>
    <w:rsid w:val="64D86A52"/>
    <w:rsid w:val="65640A91"/>
    <w:rsid w:val="65E64613"/>
    <w:rsid w:val="65EF5542"/>
    <w:rsid w:val="65F75DA9"/>
    <w:rsid w:val="66552ACF"/>
    <w:rsid w:val="668F4233"/>
    <w:rsid w:val="66B27F22"/>
    <w:rsid w:val="66D24120"/>
    <w:rsid w:val="66D954AE"/>
    <w:rsid w:val="66EA1469"/>
    <w:rsid w:val="66F127F8"/>
    <w:rsid w:val="672E75A8"/>
    <w:rsid w:val="673E5311"/>
    <w:rsid w:val="6744501E"/>
    <w:rsid w:val="67486190"/>
    <w:rsid w:val="67492634"/>
    <w:rsid w:val="674C65A4"/>
    <w:rsid w:val="679764E5"/>
    <w:rsid w:val="67AA06F1"/>
    <w:rsid w:val="680447AD"/>
    <w:rsid w:val="684352D5"/>
    <w:rsid w:val="684D1CB0"/>
    <w:rsid w:val="68B735CD"/>
    <w:rsid w:val="68BA09C6"/>
    <w:rsid w:val="68C61A62"/>
    <w:rsid w:val="695C47C9"/>
    <w:rsid w:val="69DF0287"/>
    <w:rsid w:val="69FC398E"/>
    <w:rsid w:val="6A2E5B11"/>
    <w:rsid w:val="6A7C687C"/>
    <w:rsid w:val="6A7F011B"/>
    <w:rsid w:val="6A876FCF"/>
    <w:rsid w:val="6B2632AB"/>
    <w:rsid w:val="6B327217"/>
    <w:rsid w:val="6BF97367"/>
    <w:rsid w:val="6CCF1ECC"/>
    <w:rsid w:val="6CDA788A"/>
    <w:rsid w:val="6D9B34BE"/>
    <w:rsid w:val="6DA46EFF"/>
    <w:rsid w:val="6DA641EB"/>
    <w:rsid w:val="6E1539B2"/>
    <w:rsid w:val="6E4476B1"/>
    <w:rsid w:val="6E4B6C92"/>
    <w:rsid w:val="6E661D1D"/>
    <w:rsid w:val="6E8421A4"/>
    <w:rsid w:val="6F0F06CF"/>
    <w:rsid w:val="6F173F49"/>
    <w:rsid w:val="6F2A2D4B"/>
    <w:rsid w:val="6F5E47A3"/>
    <w:rsid w:val="6F69064C"/>
    <w:rsid w:val="6F9477F2"/>
    <w:rsid w:val="6FE729EA"/>
    <w:rsid w:val="70BC5C25"/>
    <w:rsid w:val="70BF5715"/>
    <w:rsid w:val="710B3229"/>
    <w:rsid w:val="710B44B6"/>
    <w:rsid w:val="712D08D1"/>
    <w:rsid w:val="712E63F7"/>
    <w:rsid w:val="714678F4"/>
    <w:rsid w:val="714D0F73"/>
    <w:rsid w:val="715220E5"/>
    <w:rsid w:val="715F3A1A"/>
    <w:rsid w:val="71950F82"/>
    <w:rsid w:val="71EC078C"/>
    <w:rsid w:val="72273572"/>
    <w:rsid w:val="725956F5"/>
    <w:rsid w:val="72BD3ED6"/>
    <w:rsid w:val="733C6B59"/>
    <w:rsid w:val="736B56E0"/>
    <w:rsid w:val="73A34E7A"/>
    <w:rsid w:val="73E7745D"/>
    <w:rsid w:val="74327319"/>
    <w:rsid w:val="74AC1104"/>
    <w:rsid w:val="75047460"/>
    <w:rsid w:val="75FC4D15"/>
    <w:rsid w:val="75FE6CDF"/>
    <w:rsid w:val="76024DB4"/>
    <w:rsid w:val="762F6E99"/>
    <w:rsid w:val="76360227"/>
    <w:rsid w:val="769907B6"/>
    <w:rsid w:val="769B62DC"/>
    <w:rsid w:val="769E5DCD"/>
    <w:rsid w:val="774353DC"/>
    <w:rsid w:val="777D6C79"/>
    <w:rsid w:val="77B27D81"/>
    <w:rsid w:val="784A7FBA"/>
    <w:rsid w:val="785E5813"/>
    <w:rsid w:val="7863107C"/>
    <w:rsid w:val="78745037"/>
    <w:rsid w:val="7879089F"/>
    <w:rsid w:val="787B4617"/>
    <w:rsid w:val="78882890"/>
    <w:rsid w:val="78BE35F1"/>
    <w:rsid w:val="78FB3062"/>
    <w:rsid w:val="790E7239"/>
    <w:rsid w:val="791E32B8"/>
    <w:rsid w:val="79C618C2"/>
    <w:rsid w:val="79DD2C62"/>
    <w:rsid w:val="7A4D5B40"/>
    <w:rsid w:val="7A6D2191"/>
    <w:rsid w:val="7A7A47E1"/>
    <w:rsid w:val="7A7E3F4B"/>
    <w:rsid w:val="7A831561"/>
    <w:rsid w:val="7A9E45ED"/>
    <w:rsid w:val="7AC53928"/>
    <w:rsid w:val="7AD63D87"/>
    <w:rsid w:val="7ADD5115"/>
    <w:rsid w:val="7AF65A9A"/>
    <w:rsid w:val="7B6B1D57"/>
    <w:rsid w:val="7B7A16D9"/>
    <w:rsid w:val="7B7C30A5"/>
    <w:rsid w:val="7BDC53CD"/>
    <w:rsid w:val="7BDE651F"/>
    <w:rsid w:val="7C054CFB"/>
    <w:rsid w:val="7C370855"/>
    <w:rsid w:val="7C3B2F7A"/>
    <w:rsid w:val="7C683105"/>
    <w:rsid w:val="7C7151EE"/>
    <w:rsid w:val="7CAA1027"/>
    <w:rsid w:val="7D6775AA"/>
    <w:rsid w:val="7D893333"/>
    <w:rsid w:val="7DC26844"/>
    <w:rsid w:val="7E725B75"/>
    <w:rsid w:val="7EB51F05"/>
    <w:rsid w:val="7EBC14E6"/>
    <w:rsid w:val="7EC22AEB"/>
    <w:rsid w:val="7EC81C39"/>
    <w:rsid w:val="7F054C3B"/>
    <w:rsid w:val="7F390D88"/>
    <w:rsid w:val="7F6E50A7"/>
    <w:rsid w:val="7F6F6558"/>
    <w:rsid w:val="7F8F09A8"/>
    <w:rsid w:val="7FBA01C3"/>
    <w:rsid w:val="7FED4A8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34"/>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7">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8">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9">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10">
    <w:name w:val="heading 4"/>
    <w:basedOn w:val="11"/>
    <w:next w:val="1"/>
    <w:link w:val="52"/>
    <w:unhideWhenUsed/>
    <w:qFormat/>
    <w:uiPriority w:val="9"/>
    <w:pPr>
      <w:keepNext/>
      <w:keepLines/>
      <w:spacing w:before="320" w:after="200"/>
      <w:outlineLvl w:val="3"/>
    </w:pPr>
    <w:rPr>
      <w:rFonts w:ascii="Arial" w:hAnsi="Arial" w:eastAsia="Arial" w:cs="Arial"/>
      <w:sz w:val="26"/>
      <w:szCs w:val="26"/>
    </w:rPr>
  </w:style>
  <w:style w:type="paragraph" w:styleId="12">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2"/>
    <w:next w:val="1"/>
    <w:link w:val="54"/>
    <w:unhideWhenUsed/>
    <w:qFormat/>
    <w:uiPriority w:val="9"/>
    <w:pPr>
      <w:keepNext/>
      <w:keepLines/>
      <w:spacing w:before="320" w:after="200"/>
      <w:outlineLvl w:val="5"/>
    </w:pPr>
    <w:rPr>
      <w:rFonts w:ascii="Arial" w:hAnsi="Arial" w:eastAsia="Arial" w:cs="Arial"/>
      <w:sz w:val="22"/>
      <w:szCs w:val="22"/>
    </w:rPr>
  </w:style>
  <w:style w:type="paragraph" w:styleId="13">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4">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5">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1"/>
    <w:next w:val="3"/>
    <w:qFormat/>
    <w:uiPriority w:val="0"/>
    <w:pPr>
      <w:spacing w:line="360" w:lineRule="atLeast"/>
      <w:jc w:val="left"/>
    </w:pPr>
    <w:rPr>
      <w:rFonts w:ascii="宋体" w:hAnsi="Calibri" w:eastAsia="宋体" w:cs="Times New Roman"/>
      <w:sz w:val="24"/>
      <w:szCs w:val="20"/>
    </w:rPr>
  </w:style>
  <w:style w:type="paragraph" w:customStyle="1" w:styleId="3">
    <w:name w:val="正文文本1"/>
    <w:basedOn w:val="2"/>
    <w:next w:val="4"/>
    <w:qFormat/>
    <w:uiPriority w:val="0"/>
    <w:pPr>
      <w:spacing w:after="120"/>
    </w:pPr>
    <w:rPr>
      <w:lang w:val="en-US" w:eastAsia="en-US"/>
    </w:rPr>
  </w:style>
  <w:style w:type="paragraph" w:customStyle="1" w:styleId="4">
    <w:name w:val="一级条标题"/>
    <w:basedOn w:val="5"/>
    <w:next w:val="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6">
    <w:name w:val="段"/>
    <w:basedOn w:val="2"/>
    <w:next w:val="1"/>
    <w:qFormat/>
    <w:uiPriority w:val="0"/>
    <w:pPr>
      <w:widowControl/>
      <w:ind w:firstLine="200"/>
    </w:pPr>
    <w:rPr>
      <w:rFonts w:ascii="宋体"/>
      <w:sz w:val="20"/>
      <w:szCs w:val="20"/>
    </w:rPr>
  </w:style>
  <w:style w:type="paragraph" w:styleId="16">
    <w:name w:val="toc 7"/>
    <w:basedOn w:val="1"/>
    <w:next w:val="1"/>
    <w:unhideWhenUsed/>
    <w:qFormat/>
    <w:uiPriority w:val="39"/>
    <w:pPr>
      <w:spacing w:after="57"/>
      <w:ind w:left="1701" w:right="0" w:firstLine="0"/>
    </w:p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Document Map"/>
    <w:basedOn w:val="1"/>
    <w:qFormat/>
    <w:uiPriority w:val="0"/>
    <w:pPr>
      <w:shd w:val="clear" w:color="auto" w:fill="000080"/>
    </w:pPr>
  </w:style>
  <w:style w:type="paragraph" w:styleId="19">
    <w:name w:val="annotation text"/>
    <w:basedOn w:val="1"/>
    <w:qFormat/>
    <w:uiPriority w:val="99"/>
    <w:pPr>
      <w:jc w:val="left"/>
    </w:pPr>
  </w:style>
  <w:style w:type="paragraph" w:styleId="20">
    <w:name w:val="Body Text"/>
    <w:basedOn w:val="1"/>
    <w:qFormat/>
    <w:uiPriority w:val="0"/>
    <w:rPr>
      <w:rFonts w:ascii="楷体_GB2312" w:hAnsi="Arial" w:eastAsia="楷体_GB2312"/>
      <w:sz w:val="28"/>
      <w:szCs w:val="28"/>
    </w:rPr>
  </w:style>
  <w:style w:type="paragraph" w:styleId="21">
    <w:name w:val="Body Text Indent"/>
    <w:basedOn w:val="1"/>
    <w:next w:val="1"/>
    <w:unhideWhenUsed/>
    <w:qFormat/>
    <w:uiPriority w:val="99"/>
    <w:pPr>
      <w:spacing w:line="400" w:lineRule="exact"/>
      <w:ind w:firstLine="540"/>
    </w:pPr>
    <w:rPr>
      <w:sz w:val="24"/>
    </w:rPr>
  </w:style>
  <w:style w:type="paragraph" w:styleId="22">
    <w:name w:val="List Bullet 2"/>
    <w:basedOn w:val="1"/>
    <w:semiHidden/>
    <w:unhideWhenUsed/>
    <w:qFormat/>
    <w:uiPriority w:val="99"/>
    <w:pPr>
      <w:numPr>
        <w:ilvl w:val="0"/>
        <w:numId w:val="1"/>
      </w:numPr>
    </w:pPr>
  </w:style>
  <w:style w:type="paragraph" w:styleId="23">
    <w:name w:val="toc 5"/>
    <w:basedOn w:val="1"/>
    <w:next w:val="1"/>
    <w:unhideWhenUsed/>
    <w:qFormat/>
    <w:uiPriority w:val="39"/>
    <w:pPr>
      <w:spacing w:after="57"/>
      <w:ind w:left="1134" w:right="0" w:firstLine="0"/>
    </w:pPr>
  </w:style>
  <w:style w:type="paragraph" w:styleId="24">
    <w:name w:val="toc 3"/>
    <w:basedOn w:val="1"/>
    <w:next w:val="1"/>
    <w:unhideWhenUsed/>
    <w:qFormat/>
    <w:uiPriority w:val="39"/>
    <w:pPr>
      <w:spacing w:after="57"/>
      <w:ind w:left="567" w:right="0" w:firstLine="0"/>
    </w:pPr>
  </w:style>
  <w:style w:type="paragraph" w:styleId="25">
    <w:name w:val="toc 8"/>
    <w:basedOn w:val="1"/>
    <w:next w:val="1"/>
    <w:unhideWhenUsed/>
    <w:qFormat/>
    <w:uiPriority w:val="39"/>
    <w:pPr>
      <w:spacing w:after="57"/>
      <w:ind w:left="1984" w:right="0" w:firstLine="0"/>
    </w:pPr>
  </w:style>
  <w:style w:type="paragraph" w:styleId="26">
    <w:name w:val="endnote text"/>
    <w:basedOn w:val="1"/>
    <w:link w:val="195"/>
    <w:semiHidden/>
    <w:unhideWhenUsed/>
    <w:qFormat/>
    <w:uiPriority w:val="99"/>
    <w:pPr>
      <w:spacing w:after="0" w:line="240" w:lineRule="auto"/>
    </w:pPr>
    <w:rPr>
      <w:sz w:val="20"/>
    </w:rPr>
  </w:style>
  <w:style w:type="paragraph" w:styleId="27">
    <w:name w:val="footer"/>
    <w:basedOn w:val="1"/>
    <w:link w:val="68"/>
    <w:unhideWhenUsed/>
    <w:qFormat/>
    <w:uiPriority w:val="99"/>
    <w:pPr>
      <w:tabs>
        <w:tab w:val="center" w:pos="7143"/>
        <w:tab w:val="right" w:pos="14287"/>
      </w:tabs>
      <w:spacing w:after="0" w:line="240" w:lineRule="auto"/>
    </w:pPr>
  </w:style>
  <w:style w:type="paragraph" w:styleId="28">
    <w:name w:val="header"/>
    <w:basedOn w:val="1"/>
    <w:link w:val="66"/>
    <w:unhideWhenUsed/>
    <w:qFormat/>
    <w:uiPriority w:val="99"/>
    <w:pPr>
      <w:tabs>
        <w:tab w:val="center" w:pos="7143"/>
        <w:tab w:val="right" w:pos="14287"/>
      </w:tabs>
      <w:spacing w:after="0" w:line="240" w:lineRule="auto"/>
    </w:pPr>
  </w:style>
  <w:style w:type="paragraph" w:styleId="29">
    <w:name w:val="toc 1"/>
    <w:basedOn w:val="1"/>
    <w:next w:val="1"/>
    <w:unhideWhenUsed/>
    <w:qFormat/>
    <w:uiPriority w:val="39"/>
    <w:pPr>
      <w:spacing w:after="57"/>
      <w:ind w:left="0" w:right="0" w:firstLine="0"/>
    </w:p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1"/>
    <w:qFormat/>
    <w:uiPriority w:val="11"/>
    <w:pPr>
      <w:spacing w:before="200" w:after="200"/>
    </w:pPr>
    <w:rPr>
      <w:sz w:val="24"/>
      <w:szCs w:val="24"/>
    </w:rPr>
  </w:style>
  <w:style w:type="paragraph" w:styleId="32">
    <w:name w:val="footnote text"/>
    <w:basedOn w:val="1"/>
    <w:link w:val="194"/>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unhideWhenUsed/>
    <w:qFormat/>
    <w:uiPriority w:val="0"/>
    <w:pPr>
      <w:jc w:val="left"/>
    </w:pPr>
    <w:rPr>
      <w:rFonts w:ascii="Calibri" w:hAnsi="Calibri" w:eastAsia="宋体" w:cs="Times New Roman"/>
      <w:kern w:val="0"/>
      <w:sz w:val="24"/>
      <w:szCs w:val="24"/>
    </w:rPr>
  </w:style>
  <w:style w:type="paragraph" w:styleId="38">
    <w:name w:val="Title"/>
    <w:basedOn w:val="1"/>
    <w:next w:val="1"/>
    <w:link w:val="60"/>
    <w:qFormat/>
    <w:uiPriority w:val="10"/>
    <w:pPr>
      <w:spacing w:before="300" w:after="200"/>
      <w:contextualSpacing/>
    </w:pPr>
    <w:rPr>
      <w:sz w:val="48"/>
      <w:szCs w:val="48"/>
    </w:rPr>
  </w:style>
  <w:style w:type="paragraph" w:styleId="39">
    <w:name w:val="Body Text First Indent 2"/>
    <w:basedOn w:val="21"/>
    <w:next w:val="1"/>
    <w:qFormat/>
    <w:uiPriority w:val="0"/>
    <w:pPr>
      <w:spacing w:before="100" w:beforeAutospacing="1"/>
      <w:ind w:firstLine="420"/>
    </w:pPr>
    <w:rPr>
      <w:rFonts w:ascii="Times New Roman" w:hAnsi="Times New Roman"/>
      <w:sz w:val="20"/>
      <w:szCs w:val="21"/>
    </w:rPr>
  </w:style>
  <w:style w:type="table" w:styleId="4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0"/>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列表项目符号 21"/>
    <w:basedOn w:val="1"/>
    <w:unhideWhenUsed/>
    <w:qFormat/>
    <w:uiPriority w:val="99"/>
    <w:pPr>
      <w:numPr>
        <w:ilvl w:val="0"/>
        <w:numId w:val="2"/>
      </w:numPr>
    </w:pPr>
  </w:style>
  <w:style w:type="paragraph" w:customStyle="1" w:styleId="48">
    <w:name w:val="正文（缩进）"/>
    <w:basedOn w:val="1"/>
    <w:next w:val="1"/>
    <w:qFormat/>
    <w:uiPriority w:val="0"/>
    <w:pPr>
      <w:ind w:firstLine="480"/>
    </w:pPr>
    <w:rPr>
      <w:rFonts w:ascii="Calibri" w:hAnsi="Calibri" w:eastAsia="宋体" w:cs="Times New Roman"/>
      <w:szCs w:val="24"/>
    </w:rPr>
  </w:style>
  <w:style w:type="character" w:customStyle="1" w:styleId="49">
    <w:name w:val="Heading 1 Char"/>
    <w:link w:val="7"/>
    <w:qFormat/>
    <w:uiPriority w:val="9"/>
    <w:rPr>
      <w:rFonts w:ascii="Arial" w:hAnsi="Arial" w:eastAsia="Arial" w:cs="Arial"/>
      <w:sz w:val="40"/>
      <w:szCs w:val="40"/>
    </w:rPr>
  </w:style>
  <w:style w:type="character" w:customStyle="1" w:styleId="50">
    <w:name w:val="Heading 2 Char"/>
    <w:link w:val="8"/>
    <w:qFormat/>
    <w:uiPriority w:val="9"/>
    <w:rPr>
      <w:rFonts w:ascii="Arial" w:hAnsi="Arial" w:eastAsia="Arial" w:cs="Arial"/>
      <w:sz w:val="34"/>
    </w:rPr>
  </w:style>
  <w:style w:type="character" w:customStyle="1" w:styleId="51">
    <w:name w:val="Heading 3 Char"/>
    <w:link w:val="9"/>
    <w:qFormat/>
    <w:uiPriority w:val="9"/>
    <w:rPr>
      <w:rFonts w:ascii="Arial" w:hAnsi="Arial" w:eastAsia="Arial" w:cs="Arial"/>
      <w:sz w:val="30"/>
      <w:szCs w:val="30"/>
    </w:rPr>
  </w:style>
  <w:style w:type="character" w:customStyle="1" w:styleId="52">
    <w:name w:val="Heading 4 Char"/>
    <w:link w:val="10"/>
    <w:qFormat/>
    <w:uiPriority w:val="9"/>
    <w:rPr>
      <w:rFonts w:ascii="Arial" w:hAnsi="Arial" w:eastAsia="Arial" w:cs="Arial"/>
      <w:b/>
      <w:bCs/>
      <w:sz w:val="26"/>
      <w:szCs w:val="26"/>
    </w:rPr>
  </w:style>
  <w:style w:type="character" w:customStyle="1" w:styleId="53">
    <w:name w:val="Heading 5 Char"/>
    <w:link w:val="12"/>
    <w:qFormat/>
    <w:uiPriority w:val="9"/>
    <w:rPr>
      <w:rFonts w:ascii="Arial" w:hAnsi="Arial" w:eastAsia="Arial" w:cs="Arial"/>
      <w:b/>
      <w:bCs/>
      <w:sz w:val="24"/>
      <w:szCs w:val="24"/>
    </w:rPr>
  </w:style>
  <w:style w:type="character" w:customStyle="1" w:styleId="54">
    <w:name w:val="Heading 6 Char"/>
    <w:link w:val="11"/>
    <w:qFormat/>
    <w:uiPriority w:val="9"/>
    <w:rPr>
      <w:rFonts w:ascii="Arial" w:hAnsi="Arial" w:eastAsia="Arial" w:cs="Arial"/>
      <w:b/>
      <w:bCs/>
      <w:sz w:val="22"/>
      <w:szCs w:val="22"/>
    </w:rPr>
  </w:style>
  <w:style w:type="character" w:customStyle="1" w:styleId="55">
    <w:name w:val="Heading 7 Char"/>
    <w:link w:val="13"/>
    <w:qFormat/>
    <w:uiPriority w:val="9"/>
    <w:rPr>
      <w:rFonts w:ascii="Arial" w:hAnsi="Arial" w:eastAsia="Arial" w:cs="Arial"/>
      <w:b/>
      <w:bCs/>
      <w:i/>
      <w:iCs/>
      <w:sz w:val="22"/>
      <w:szCs w:val="22"/>
    </w:rPr>
  </w:style>
  <w:style w:type="character" w:customStyle="1" w:styleId="56">
    <w:name w:val="Heading 8 Char"/>
    <w:link w:val="14"/>
    <w:qFormat/>
    <w:uiPriority w:val="9"/>
    <w:rPr>
      <w:rFonts w:ascii="Arial" w:hAnsi="Arial" w:eastAsia="Arial" w:cs="Arial"/>
      <w:i/>
      <w:iCs/>
      <w:sz w:val="22"/>
      <w:szCs w:val="22"/>
    </w:rPr>
  </w:style>
  <w:style w:type="character" w:customStyle="1" w:styleId="57">
    <w:name w:val="Heading 9 Char"/>
    <w:link w:val="15"/>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link w:val="38"/>
    <w:qFormat/>
    <w:uiPriority w:val="10"/>
    <w:rPr>
      <w:sz w:val="48"/>
      <w:szCs w:val="48"/>
    </w:rPr>
  </w:style>
  <w:style w:type="character" w:customStyle="1" w:styleId="61">
    <w:name w:val="Subtitle Char"/>
    <w:link w:val="31"/>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link w:val="28"/>
    <w:qFormat/>
    <w:uiPriority w:val="99"/>
  </w:style>
  <w:style w:type="character" w:customStyle="1" w:styleId="67">
    <w:name w:val="Footer Char"/>
    <w:link w:val="27"/>
    <w:qFormat/>
    <w:uiPriority w:val="99"/>
  </w:style>
  <w:style w:type="character" w:customStyle="1" w:styleId="68">
    <w:name w:val="Caption Char"/>
    <w:link w:val="27"/>
    <w:qFormat/>
    <w:uiPriority w:val="99"/>
  </w:style>
  <w:style w:type="table" w:customStyle="1" w:styleId="6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32"/>
    <w:qFormat/>
    <w:uiPriority w:val="99"/>
    <w:rPr>
      <w:sz w:val="18"/>
    </w:rPr>
  </w:style>
  <w:style w:type="character" w:customStyle="1" w:styleId="195">
    <w:name w:val="Endnote Text Char"/>
    <w:link w:val="26"/>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标题 11"/>
    <w:basedOn w:val="1"/>
    <w:next w:val="1"/>
    <w:link w:val="204"/>
    <w:qFormat/>
    <w:uiPriority w:val="99"/>
    <w:pPr>
      <w:keepNext/>
      <w:keepLines/>
      <w:spacing w:before="340" w:after="330" w:line="578" w:lineRule="auto"/>
      <w:outlineLvl w:val="0"/>
    </w:pPr>
    <w:rPr>
      <w:rFonts w:ascii="Calibri" w:hAnsi="Calibri"/>
      <w:b/>
      <w:bCs/>
      <w:sz w:val="44"/>
      <w:szCs w:val="44"/>
    </w:rPr>
  </w:style>
  <w:style w:type="paragraph" w:customStyle="1" w:styleId="198">
    <w:name w:val="标题 21"/>
    <w:basedOn w:val="1"/>
    <w:next w:val="199"/>
    <w:link w:val="205"/>
    <w:qFormat/>
    <w:uiPriority w:val="9"/>
    <w:pPr>
      <w:keepNext/>
      <w:keepLines/>
      <w:spacing w:before="260" w:after="260" w:line="416" w:lineRule="auto"/>
      <w:outlineLvl w:val="1"/>
    </w:pPr>
    <w:rPr>
      <w:rFonts w:ascii="Cambria" w:hAnsi="Cambria"/>
      <w:b/>
      <w:bCs/>
      <w:sz w:val="32"/>
      <w:szCs w:val="32"/>
    </w:rPr>
  </w:style>
  <w:style w:type="paragraph" w:customStyle="1" w:styleId="199">
    <w:name w:val="正文缩进1"/>
    <w:basedOn w:val="1"/>
    <w:unhideWhenUsed/>
    <w:qFormat/>
    <w:uiPriority w:val="0"/>
    <w:pPr>
      <w:ind w:firstLine="420"/>
    </w:pPr>
    <w:rPr>
      <w:rFonts w:ascii="Calibri" w:hAnsi="Calibri" w:eastAsia="宋体" w:cs="Times New Roman"/>
    </w:rPr>
  </w:style>
  <w:style w:type="paragraph" w:customStyle="1" w:styleId="200">
    <w:name w:val="标题 31"/>
    <w:basedOn w:val="1"/>
    <w:next w:val="1"/>
    <w:link w:val="206"/>
    <w:qFormat/>
    <w:uiPriority w:val="0"/>
    <w:pPr>
      <w:keepNext/>
      <w:keepLines/>
      <w:spacing w:before="260" w:after="260" w:line="416" w:lineRule="auto"/>
      <w:outlineLvl w:val="2"/>
    </w:pPr>
    <w:rPr>
      <w:rFonts w:ascii="Calibri" w:hAnsi="Calibri"/>
      <w:b/>
      <w:bCs/>
      <w:sz w:val="32"/>
      <w:szCs w:val="32"/>
    </w:rPr>
  </w:style>
  <w:style w:type="paragraph" w:customStyle="1" w:styleId="201">
    <w:name w:val="标题 41"/>
    <w:basedOn w:val="1"/>
    <w:next w:val="199"/>
    <w:link w:val="207"/>
    <w:qFormat/>
    <w:uiPriority w:val="0"/>
    <w:pPr>
      <w:spacing w:before="280" w:after="290" w:line="377" w:lineRule="auto"/>
      <w:outlineLvl w:val="3"/>
    </w:pPr>
    <w:rPr>
      <w:rFonts w:ascii="Arial" w:hAnsi="Arial" w:eastAsia="黑体"/>
      <w:b/>
      <w:bCs/>
      <w:sz w:val="28"/>
      <w:szCs w:val="28"/>
    </w:rPr>
  </w:style>
  <w:style w:type="character" w:customStyle="1" w:styleId="202">
    <w:name w:val="默认段落字体1"/>
    <w:link w:val="1"/>
    <w:unhideWhenUsed/>
    <w:qFormat/>
    <w:uiPriority w:val="1"/>
  </w:style>
  <w:style w:type="table" w:customStyle="1" w:styleId="203">
    <w:name w:val="普通表格1"/>
    <w:unhideWhenUsed/>
    <w:qFormat/>
    <w:uiPriority w:val="99"/>
  </w:style>
  <w:style w:type="character" w:customStyle="1" w:styleId="204">
    <w:name w:val="标题 1 Char"/>
    <w:link w:val="197"/>
    <w:qFormat/>
    <w:uiPriority w:val="99"/>
    <w:rPr>
      <w:rFonts w:ascii="Calibri" w:hAnsi="Calibri" w:eastAsia="宋体" w:cs="Times New Roman"/>
      <w:b/>
      <w:bCs/>
      <w:sz w:val="44"/>
      <w:szCs w:val="44"/>
    </w:rPr>
  </w:style>
  <w:style w:type="character" w:customStyle="1" w:styleId="205">
    <w:name w:val="标题 2 Char"/>
    <w:link w:val="198"/>
    <w:qFormat/>
    <w:uiPriority w:val="9"/>
    <w:rPr>
      <w:rFonts w:ascii="Cambria" w:hAnsi="Cambria" w:eastAsia="宋体" w:cs="Times New Roman"/>
      <w:b/>
      <w:bCs/>
      <w:sz w:val="32"/>
      <w:szCs w:val="32"/>
    </w:rPr>
  </w:style>
  <w:style w:type="character" w:customStyle="1" w:styleId="206">
    <w:name w:val="标题 3 Char"/>
    <w:link w:val="200"/>
    <w:qFormat/>
    <w:uiPriority w:val="0"/>
    <w:rPr>
      <w:rFonts w:ascii="Calibri" w:hAnsi="Calibri" w:eastAsia="宋体" w:cs="Times New Roman"/>
      <w:b/>
      <w:bCs/>
      <w:sz w:val="32"/>
      <w:szCs w:val="32"/>
    </w:rPr>
  </w:style>
  <w:style w:type="character" w:customStyle="1" w:styleId="207">
    <w:name w:val="标题 4 Char"/>
    <w:link w:val="201"/>
    <w:qFormat/>
    <w:uiPriority w:val="0"/>
    <w:rPr>
      <w:rFonts w:ascii="Arial" w:hAnsi="Arial" w:eastAsia="黑体" w:cs="Times New Roman"/>
      <w:b/>
      <w:bCs/>
      <w:sz w:val="28"/>
      <w:szCs w:val="28"/>
    </w:rPr>
  </w:style>
  <w:style w:type="paragraph" w:customStyle="1" w:styleId="208">
    <w:name w:val="文档结构图1"/>
    <w:basedOn w:val="1"/>
    <w:link w:val="209"/>
    <w:unhideWhenUsed/>
    <w:qFormat/>
    <w:uiPriority w:val="99"/>
    <w:rPr>
      <w:rFonts w:ascii="宋体"/>
      <w:sz w:val="18"/>
      <w:szCs w:val="18"/>
    </w:rPr>
  </w:style>
  <w:style w:type="character" w:customStyle="1" w:styleId="209">
    <w:name w:val="文档结构图 Char"/>
    <w:link w:val="208"/>
    <w:semiHidden/>
    <w:qFormat/>
    <w:uiPriority w:val="99"/>
    <w:rPr>
      <w:rFonts w:ascii="宋体"/>
      <w:sz w:val="18"/>
      <w:szCs w:val="18"/>
    </w:rPr>
  </w:style>
  <w:style w:type="paragraph" w:customStyle="1" w:styleId="210">
    <w:name w:val="正文文本11"/>
    <w:basedOn w:val="1"/>
    <w:qFormat/>
    <w:uiPriority w:val="0"/>
    <w:rPr>
      <w:rFonts w:ascii="楷体_GB2312" w:hAnsi="Arial" w:eastAsia="楷体_GB2312"/>
      <w:sz w:val="28"/>
      <w:szCs w:val="28"/>
    </w:rPr>
  </w:style>
  <w:style w:type="paragraph" w:customStyle="1" w:styleId="211">
    <w:name w:val="文本块11"/>
    <w:basedOn w:val="1"/>
    <w:unhideWhenUsed/>
    <w:qFormat/>
    <w:uiPriority w:val="99"/>
    <w:pPr>
      <w:ind w:left="567" w:right="454" w:firstLine="498"/>
      <w:jc w:val="left"/>
    </w:pPr>
    <w:rPr>
      <w:rFonts w:ascii="仿宋_GB2312" w:eastAsia="仿宋_GB2312"/>
      <w:sz w:val="30"/>
      <w:szCs w:val="20"/>
    </w:rPr>
  </w:style>
  <w:style w:type="paragraph" w:customStyle="1" w:styleId="212">
    <w:name w:val="纯文本11"/>
    <w:basedOn w:val="1"/>
    <w:link w:val="213"/>
    <w:unhideWhenUsed/>
    <w:qFormat/>
    <w:uiPriority w:val="99"/>
    <w:rPr>
      <w:rFonts w:ascii="宋体" w:hAnsi="Courier New"/>
      <w:sz w:val="20"/>
      <w:szCs w:val="20"/>
    </w:rPr>
  </w:style>
  <w:style w:type="character" w:customStyle="1" w:styleId="213">
    <w:name w:val="纯文本 Char"/>
    <w:link w:val="212"/>
    <w:qFormat/>
    <w:uiPriority w:val="99"/>
    <w:rPr>
      <w:rFonts w:ascii="宋体" w:hAnsi="Courier New"/>
    </w:rPr>
  </w:style>
  <w:style w:type="paragraph" w:customStyle="1" w:styleId="214">
    <w:name w:val="日期1"/>
    <w:basedOn w:val="1"/>
    <w:next w:val="1"/>
    <w:link w:val="215"/>
    <w:qFormat/>
    <w:uiPriority w:val="0"/>
    <w:rPr>
      <w:sz w:val="24"/>
      <w:szCs w:val="20"/>
    </w:rPr>
  </w:style>
  <w:style w:type="character" w:customStyle="1" w:styleId="215">
    <w:name w:val="日期 Char"/>
    <w:link w:val="214"/>
    <w:qFormat/>
    <w:uiPriority w:val="0"/>
    <w:rPr>
      <w:rFonts w:ascii="Times New Roman" w:hAnsi="Times New Roman"/>
      <w:sz w:val="24"/>
    </w:rPr>
  </w:style>
  <w:style w:type="paragraph" w:customStyle="1" w:styleId="216">
    <w:name w:val="正文文本缩进 21"/>
    <w:basedOn w:val="1"/>
    <w:unhideWhenUsed/>
    <w:qFormat/>
    <w:uiPriority w:val="99"/>
    <w:pPr>
      <w:spacing w:line="480" w:lineRule="exact"/>
      <w:ind w:firstLine="562"/>
    </w:pPr>
    <w:rPr>
      <w:b/>
      <w:bCs/>
      <w:sz w:val="28"/>
      <w:szCs w:val="28"/>
    </w:rPr>
  </w:style>
  <w:style w:type="paragraph" w:customStyle="1" w:styleId="217">
    <w:name w:val="页脚11"/>
    <w:basedOn w:val="1"/>
    <w:link w:val="218"/>
    <w:unhideWhenUsed/>
    <w:qFormat/>
    <w:uiPriority w:val="99"/>
    <w:pPr>
      <w:tabs>
        <w:tab w:val="center" w:pos="4153"/>
        <w:tab w:val="right" w:pos="8306"/>
      </w:tabs>
      <w:jc w:val="left"/>
    </w:pPr>
    <w:rPr>
      <w:sz w:val="18"/>
      <w:szCs w:val="18"/>
    </w:rPr>
  </w:style>
  <w:style w:type="character" w:customStyle="1" w:styleId="218">
    <w:name w:val="页脚 Char"/>
    <w:link w:val="217"/>
    <w:qFormat/>
    <w:uiPriority w:val="99"/>
    <w:rPr>
      <w:sz w:val="18"/>
      <w:szCs w:val="18"/>
    </w:rPr>
  </w:style>
  <w:style w:type="paragraph" w:customStyle="1" w:styleId="219">
    <w:name w:val="页眉11"/>
    <w:basedOn w:val="1"/>
    <w:link w:val="220"/>
    <w:unhideWhenUsed/>
    <w:qFormat/>
    <w:uiPriority w:val="99"/>
    <w:pPr>
      <w:pBdr>
        <w:bottom w:val="single" w:color="000000" w:sz="6" w:space="1"/>
      </w:pBdr>
      <w:tabs>
        <w:tab w:val="center" w:pos="4153"/>
        <w:tab w:val="right" w:pos="8306"/>
      </w:tabs>
      <w:jc w:val="center"/>
    </w:pPr>
    <w:rPr>
      <w:sz w:val="18"/>
      <w:szCs w:val="18"/>
    </w:rPr>
  </w:style>
  <w:style w:type="character" w:customStyle="1" w:styleId="220">
    <w:name w:val="页眉 Char"/>
    <w:link w:val="219"/>
    <w:qFormat/>
    <w:uiPriority w:val="99"/>
    <w:rPr>
      <w:sz w:val="18"/>
      <w:szCs w:val="18"/>
    </w:rPr>
  </w:style>
  <w:style w:type="paragraph" w:customStyle="1" w:styleId="221">
    <w:name w:val="目录 11"/>
    <w:basedOn w:val="1"/>
    <w:next w:val="1"/>
    <w:unhideWhenUsed/>
    <w:qFormat/>
    <w:uiPriority w:val="39"/>
    <w:rPr>
      <w:rFonts w:ascii="Calibri" w:hAnsi="Calibri" w:eastAsia="宋体" w:cs="Times New Roman"/>
    </w:rPr>
  </w:style>
  <w:style w:type="paragraph" w:customStyle="1" w:styleId="222">
    <w:name w:val="目录 21"/>
    <w:basedOn w:val="1"/>
    <w:next w:val="1"/>
    <w:unhideWhenUsed/>
    <w:qFormat/>
    <w:uiPriority w:val="39"/>
    <w:pPr>
      <w:ind w:left="420"/>
    </w:pPr>
  </w:style>
  <w:style w:type="paragraph" w:customStyle="1" w:styleId="223">
    <w:name w:val="普通(网站)1"/>
    <w:basedOn w:val="1"/>
    <w:unhideWhenUsed/>
    <w:qFormat/>
    <w:uiPriority w:val="0"/>
    <w:pPr>
      <w:jc w:val="left"/>
    </w:pPr>
    <w:rPr>
      <w:rFonts w:ascii="Calibri" w:hAnsi="Calibri" w:eastAsia="宋体" w:cs="Times New Roman"/>
      <w:sz w:val="24"/>
      <w:szCs w:val="24"/>
    </w:rPr>
  </w:style>
  <w:style w:type="paragraph" w:customStyle="1" w:styleId="224">
    <w:name w:val="正文首行缩进 21"/>
    <w:basedOn w:val="1"/>
    <w:next w:val="1"/>
    <w:qFormat/>
    <w:uiPriority w:val="0"/>
    <w:pPr>
      <w:spacing w:after="120"/>
      <w:ind w:left="420" w:firstLine="210"/>
    </w:pPr>
    <w:rPr>
      <w:sz w:val="20"/>
    </w:rPr>
  </w:style>
  <w:style w:type="character" w:customStyle="1" w:styleId="225">
    <w:name w:val="要点1"/>
    <w:link w:val="1"/>
    <w:qFormat/>
    <w:uiPriority w:val="0"/>
    <w:rPr>
      <w:b/>
    </w:rPr>
  </w:style>
  <w:style w:type="character" w:customStyle="1" w:styleId="226">
    <w:name w:val="页码1"/>
    <w:link w:val="1"/>
    <w:qFormat/>
    <w:uiPriority w:val="0"/>
  </w:style>
  <w:style w:type="character" w:customStyle="1" w:styleId="227">
    <w:name w:val="htd0"/>
    <w:link w:val="1"/>
    <w:qFormat/>
    <w:uiPriority w:val="0"/>
  </w:style>
  <w:style w:type="character" w:customStyle="1" w:styleId="228">
    <w:name w:val="页脚 Char1"/>
    <w:link w:val="1"/>
    <w:semiHidden/>
    <w:qFormat/>
    <w:uiPriority w:val="99"/>
    <w:rPr>
      <w:sz w:val="18"/>
      <w:szCs w:val="18"/>
    </w:rPr>
  </w:style>
  <w:style w:type="character" w:customStyle="1" w:styleId="229">
    <w:name w:val="纯文本 Char1"/>
    <w:link w:val="1"/>
    <w:semiHidden/>
    <w:qFormat/>
    <w:uiPriority w:val="99"/>
    <w:rPr>
      <w:rFonts w:ascii="宋体" w:hAnsi="Courier New" w:eastAsia="宋体" w:cs="Courier New"/>
      <w:szCs w:val="21"/>
    </w:rPr>
  </w:style>
  <w:style w:type="character" w:customStyle="1" w:styleId="230">
    <w:name w:val="批注引用1"/>
    <w:link w:val="231"/>
    <w:qFormat/>
    <w:uiPriority w:val="0"/>
    <w:rPr>
      <w:rFonts w:ascii="Calibri" w:hAnsi="Calibri"/>
      <w:sz w:val="21"/>
      <w:szCs w:val="24"/>
      <w:lang w:val="en-US" w:eastAsia="zh-CN" w:bidi="ar-SA"/>
    </w:rPr>
  </w:style>
  <w:style w:type="paragraph" w:customStyle="1" w:styleId="231">
    <w:name w:val="正文111"/>
    <w:next w:val="232"/>
    <w:link w:val="23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32">
    <w:name w:val="文本块1"/>
    <w:basedOn w:val="231"/>
    <w:qFormat/>
    <w:uiPriority w:val="0"/>
    <w:pPr>
      <w:widowControl/>
      <w:ind w:left="567" w:right="454" w:firstLine="498"/>
      <w:jc w:val="left"/>
    </w:pPr>
    <w:rPr>
      <w:rFonts w:ascii="仿宋_GB2312" w:eastAsia="仿宋_GB2312"/>
      <w:sz w:val="30"/>
      <w:szCs w:val="20"/>
    </w:rPr>
  </w:style>
  <w:style w:type="character" w:customStyle="1" w:styleId="233">
    <w:name w:val="页眉 Char1"/>
    <w:link w:val="1"/>
    <w:semiHidden/>
    <w:qFormat/>
    <w:uiPriority w:val="99"/>
    <w:rPr>
      <w:sz w:val="18"/>
      <w:szCs w:val="18"/>
    </w:rPr>
  </w:style>
  <w:style w:type="character" w:customStyle="1" w:styleId="234">
    <w:name w:val="日期 Char1"/>
    <w:link w:val="1"/>
    <w:semiHidden/>
    <w:qFormat/>
    <w:uiPriority w:val="99"/>
  </w:style>
  <w:style w:type="paragraph" w:customStyle="1" w:styleId="235">
    <w:name w:val="纯文本1"/>
    <w:basedOn w:val="231"/>
    <w:qFormat/>
    <w:uiPriority w:val="0"/>
    <w:rPr>
      <w:rFonts w:ascii="宋体" w:hAnsi="Courier New"/>
      <w:sz w:val="21"/>
      <w:szCs w:val="21"/>
    </w:rPr>
  </w:style>
  <w:style w:type="paragraph" w:customStyle="1" w:styleId="236">
    <w:name w:val="页眉1"/>
    <w:basedOn w:val="231"/>
    <w:qFormat/>
    <w:uiPriority w:val="0"/>
    <w:pPr>
      <w:pBdr>
        <w:bottom w:val="single" w:color="000000" w:sz="6" w:space="1"/>
      </w:pBdr>
      <w:tabs>
        <w:tab w:val="center" w:pos="4153"/>
        <w:tab w:val="right" w:pos="8306"/>
      </w:tabs>
      <w:jc w:val="center"/>
    </w:pPr>
    <w:rPr>
      <w:sz w:val="18"/>
      <w:szCs w:val="18"/>
    </w:rPr>
  </w:style>
  <w:style w:type="paragraph" w:customStyle="1" w:styleId="237">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38">
    <w:name w:val="默认段落字体 Para Char Char Char Char Char Char Char"/>
    <w:basedOn w:val="1"/>
    <w:next w:val="1"/>
    <w:qFormat/>
    <w:uiPriority w:val="99"/>
    <w:pPr>
      <w:ind w:firstLine="200"/>
    </w:pPr>
    <w:rPr>
      <w:rFonts w:ascii="Calibri" w:hAnsi="Calibri" w:eastAsia="宋体" w:cs="Arial"/>
      <w:szCs w:val="24"/>
    </w:rPr>
  </w:style>
  <w:style w:type="paragraph" w:customStyle="1" w:styleId="239">
    <w:name w:val="Default"/>
    <w:qFormat/>
    <w:uiPriority w:val="0"/>
    <w:pPr>
      <w:widowControl w:val="0"/>
    </w:pPr>
    <w:rPr>
      <w:rFonts w:hint="default" w:ascii="宋体" w:hAnsi="宋体" w:eastAsia="宋体" w:cs="Times New Roman"/>
      <w:color w:val="000000"/>
      <w:sz w:val="24"/>
      <w:szCs w:val="22"/>
      <w:lang w:val="en-US" w:eastAsia="zh-CN" w:bidi="ar-SA"/>
    </w:rPr>
  </w:style>
  <w:style w:type="paragraph" w:customStyle="1" w:styleId="240">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41">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42">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3">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44">
    <w:name w:val="页脚1"/>
    <w:basedOn w:val="231"/>
    <w:qFormat/>
    <w:uiPriority w:val="0"/>
    <w:pPr>
      <w:tabs>
        <w:tab w:val="center" w:pos="4153"/>
        <w:tab w:val="right" w:pos="8306"/>
      </w:tabs>
      <w:jc w:val="left"/>
    </w:pPr>
    <w:rPr>
      <w:sz w:val="18"/>
      <w:szCs w:val="18"/>
    </w:rPr>
  </w:style>
  <w:style w:type="table" w:customStyle="1" w:styleId="245">
    <w:name w:val="Table Normal"/>
    <w:unhideWhenUsed/>
    <w:qFormat/>
    <w:uiPriority w:val="0"/>
  </w:style>
  <w:style w:type="paragraph" w:customStyle="1" w:styleId="246">
    <w:name w:val="Table Text"/>
    <w:basedOn w:val="1"/>
    <w:semiHidden/>
    <w:qFormat/>
    <w:uiPriority w:val="0"/>
    <w:rPr>
      <w:rFonts w:ascii="宋体" w:hAnsi="宋体" w:eastAsia="宋体" w:cs="宋体"/>
      <w:sz w:val="21"/>
      <w:szCs w:val="21"/>
      <w:lang w:val="en-US" w:eastAsia="en-US" w:bidi="ar-SA"/>
    </w:rPr>
  </w:style>
  <w:style w:type="character" w:customStyle="1" w:styleId="247">
    <w:name w:val="标题2 Char"/>
    <w:link w:val="248"/>
    <w:qFormat/>
    <w:uiPriority w:val="0"/>
    <w:rPr>
      <w:rFonts w:ascii="方正楷体_GBK" w:hAnsi="Book Antiqua" w:eastAsia="方正楷体_GBK"/>
      <w:szCs w:val="20"/>
    </w:rPr>
  </w:style>
  <w:style w:type="paragraph" w:customStyle="1" w:styleId="248">
    <w:name w:val="标题2"/>
    <w:basedOn w:val="1"/>
    <w:next w:val="1"/>
    <w:link w:val="247"/>
    <w:qFormat/>
    <w:uiPriority w:val="0"/>
    <w:pPr>
      <w:spacing w:line="590" w:lineRule="atLeast"/>
      <w:jc w:val="center"/>
    </w:pPr>
    <w:rPr>
      <w:rFonts w:ascii="方正楷体_GBK" w:hAnsi="Book Antiqua" w:eastAsia="方正楷体_GBK"/>
      <w:szCs w:val="20"/>
    </w:rPr>
  </w:style>
  <w:style w:type="paragraph" w:customStyle="1" w:styleId="249">
    <w:name w:val="2"/>
    <w:next w:val="1"/>
    <w:autoRedefine/>
    <w:qFormat/>
    <w:uiPriority w:val="0"/>
    <w:pPr>
      <w:widowControl w:val="0"/>
      <w:jc w:val="both"/>
    </w:pPr>
    <w:rPr>
      <w:rFonts w:ascii="Times New Roman" w:hAnsi="Times New Roman" w:eastAsia="宋体" w:cs="Times New Roman"/>
      <w:color w:val="FF0000"/>
      <w:sz w:val="21"/>
      <w:szCs w:val="24"/>
      <w:lang w:val="en-US" w:eastAsia="zh-CN" w:bidi="ar-SA"/>
    </w:rPr>
  </w:style>
  <w:style w:type="paragraph" w:customStyle="1" w:styleId="250">
    <w:name w:val="Table Paragraph"/>
    <w:basedOn w:val="1"/>
    <w:qFormat/>
    <w:uiPriority w:val="0"/>
    <w:rPr>
      <w:rFonts w:ascii="宋体" w:hAnsi="宋体" w:cs="宋体"/>
      <w:lang w:val="zh-CN" w:bidi="zh-CN"/>
    </w:rPr>
  </w:style>
  <w:style w:type="character" w:customStyle="1" w:styleId="251">
    <w:name w:val="无"/>
    <w:qFormat/>
    <w:uiPriority w:val="0"/>
  </w:style>
  <w:style w:type="paragraph" w:customStyle="1" w:styleId="252">
    <w:name w:val="1级"/>
    <w:basedOn w:val="7"/>
    <w:next w:val="1"/>
    <w:qFormat/>
    <w:uiPriority w:val="0"/>
    <w:pPr>
      <w:widowControl/>
      <w:numPr>
        <w:ilvl w:val="0"/>
        <w:numId w:val="3"/>
      </w:numPr>
      <w:tabs>
        <w:tab w:val="left" w:pos="720"/>
      </w:tabs>
      <w:adjustRightInd w:val="0"/>
      <w:spacing w:line="360" w:lineRule="auto"/>
      <w:jc w:val="left"/>
      <w:textAlignment w:val="baseline"/>
    </w:pPr>
    <w:rPr>
      <w:rFonts w:ascii="Cambria" w:hAnsi="Cambria" w:eastAsia="黑体" w:cs="Times New Roman"/>
      <w:color w:val="000000"/>
      <w:kern w:val="0"/>
      <w:sz w:val="32"/>
      <w:szCs w:val="28"/>
      <w:lang w:eastAsia="en-US" w:bidi="en-US"/>
    </w:rPr>
  </w:style>
  <w:style w:type="paragraph" w:customStyle="1" w:styleId="253">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254">
    <w:name w:val="2级"/>
    <w:basedOn w:val="8"/>
    <w:next w:val="1"/>
    <w:qFormat/>
    <w:uiPriority w:val="0"/>
    <w:pPr>
      <w:widowControl/>
      <w:numPr>
        <w:ilvl w:val="1"/>
        <w:numId w:val="3"/>
      </w:numPr>
      <w:tabs>
        <w:tab w:val="left" w:pos="360"/>
        <w:tab w:val="left" w:pos="720"/>
      </w:tabs>
      <w:adjustRightInd w:val="0"/>
      <w:spacing w:before="0" w:after="0" w:line="360" w:lineRule="auto"/>
      <w:ind w:firstLine="200" w:firstLineChars="200"/>
      <w:jc w:val="left"/>
      <w:textAlignment w:val="baseline"/>
    </w:pPr>
    <w:rPr>
      <w:rFonts w:eastAsia="楷体" w:cs="Times New Roman"/>
      <w:color w:val="000000"/>
      <w:kern w:val="0"/>
      <w:szCs w:val="26"/>
      <w:lang w:eastAsia="en-US" w:bidi="en-US"/>
    </w:rPr>
  </w:style>
  <w:style w:type="paragraph" w:customStyle="1" w:styleId="255">
    <w:name w:val="列出段落1"/>
    <w:basedOn w:val="1"/>
    <w:qFormat/>
    <w:uiPriority w:val="34"/>
    <w:pPr>
      <w:ind w:firstLine="420" w:firstLineChars="200"/>
    </w:pPr>
    <w:rPr>
      <w:rFonts w:ascii="Times New Roman" w:hAnsi="Times New Roman" w:cs="Times New Roman"/>
      <w:kern w:val="0"/>
      <w:sz w:val="20"/>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82</Pages>
  <Words>29108</Words>
  <Characters>30803</Characters>
  <TotalTime>16</TotalTime>
  <ScaleCrop>false</ScaleCrop>
  <LinksUpToDate>false</LinksUpToDate>
  <CharactersWithSpaces>30928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2022-07-21T08:33:00Z</dcterms:created>
  <dc:creator>Adminis</dc:creator>
  <cp:lastModifiedBy>杨满月</cp:lastModifiedBy>
  <cp:lastPrinted>2024-09-24T09:42:00Z</cp:lastPrinted>
  <dcterms:modified xsi:type="dcterms:W3CDTF">2025-12-16T02:02:47Z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46C4BC38DFE94570BF931F6DFA6B576B_13</vt:lpwstr>
  </property>
  <property fmtid="{D5CDD505-2E9C-101B-9397-08002B2CF9AE}" pid="4" name="KSOTemplateDocerSaveRecord">
    <vt:lpwstr>eyJoZGlkIjoiZDA5NTkwMDczOTc4YTk1Yjk3OTljNDhmNDA5MmEzNzkiLCJ1c2VySWQiOiIzNzY4Njk4MzgifQ==</vt:lpwstr>
  </property>
</Properties>
</file>